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DB-008 - Enterprise pgvector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Standardize vector storage across the AI platform.</w:t>
      </w:r>
    </w:p>
    <w:p>
      <w:pPr>
        <w:pStyle w:val="ListBullet"/>
      </w:pPr>
      <w:r>
        <w:t>Define embedding lifecycle and search practices.</w:t>
      </w:r>
    </w:p>
    <w:p>
      <w:pPr>
        <w:pStyle w:val="ListBullet"/>
      </w:pPr>
      <w:r>
        <w:t>Ensure interoperability between embedding models.</w:t>
      </w:r>
    </w:p>
    <w:p>
      <w:pPr>
        <w:pStyle w:val="Heading2"/>
      </w:pPr>
      <w:r>
        <w:t>2. Vector Storage</w:t>
      </w:r>
    </w:p>
    <w:p>
      <w:pPr>
        <w:pStyle w:val="ListBullet"/>
      </w:pPr>
      <w:r>
        <w:t>Store vectors in the owning business table.</w:t>
      </w:r>
    </w:p>
    <w:p>
      <w:pPr>
        <w:pStyle w:val="ListBullet"/>
      </w:pPr>
      <w:r>
        <w:t>Use the PostgreSQL pgvector extension.</w:t>
      </w:r>
    </w:p>
    <w:p>
      <w:pPr>
        <w:pStyle w:val="ListBullet"/>
      </w:pPr>
      <w:r>
        <w:t>One embedding column per searchable representation.</w:t>
      </w:r>
    </w:p>
    <w:p>
      <w:pPr>
        <w:pStyle w:val="Heading2"/>
      </w:pPr>
      <w:r>
        <w:t>3. Embedding Standards</w:t>
      </w:r>
    </w:p>
    <w:p>
      <w:pPr>
        <w:pStyle w:val="ListBullet"/>
      </w:pPr>
      <w:r>
        <w:t>Track embedding model name.</w:t>
      </w:r>
    </w:p>
    <w:p>
      <w:pPr>
        <w:pStyle w:val="ListBullet"/>
      </w:pPr>
      <w:r>
        <w:t>Track embedding model version.</w:t>
      </w:r>
    </w:p>
    <w:p>
      <w:pPr>
        <w:pStyle w:val="ListBullet"/>
      </w:pPr>
      <w:r>
        <w:t>Track embedding creation timestamp.</w:t>
      </w:r>
    </w:p>
    <w:p>
      <w:pPr>
        <w:pStyle w:val="ListBullet"/>
      </w:pPr>
      <w:r>
        <w:t>Regenerate embeddings after meaningful content changes.</w:t>
      </w:r>
    </w:p>
    <w:p>
      <w:pPr>
        <w:pStyle w:val="Heading2"/>
      </w:pPr>
      <w:r>
        <w:t>4. Lifecycle</w:t>
      </w:r>
    </w:p>
    <w:p>
      <w:pPr>
        <w:pStyle w:val="ListBullet"/>
      </w:pPr>
      <w:r>
        <w:t>Create content.</w:t>
      </w:r>
    </w:p>
    <w:p>
      <w:pPr>
        <w:pStyle w:val="ListBullet"/>
      </w:pPr>
      <w:r>
        <w:t>Generate embedding.</w:t>
      </w:r>
    </w:p>
    <w:p>
      <w:pPr>
        <w:pStyle w:val="ListBullet"/>
      </w:pPr>
      <w:r>
        <w:t>Persist vector.</w:t>
      </w:r>
    </w:p>
    <w:p>
      <w:pPr>
        <w:pStyle w:val="ListBullet"/>
      </w:pPr>
      <w:r>
        <w:t>Create HNSW index.</w:t>
      </w:r>
    </w:p>
    <w:p>
      <w:pPr>
        <w:pStyle w:val="ListBullet"/>
      </w:pPr>
      <w:r>
        <w:t>Refresh when content changes.</w:t>
      </w:r>
    </w:p>
    <w:p>
      <w:pPr>
        <w:pStyle w:val="ListBullet"/>
      </w:pPr>
      <w:r>
        <w:t>Delete vector when source record is removed.</w:t>
      </w:r>
    </w:p>
    <w:p>
      <w:pPr>
        <w:pStyle w:val="Heading2"/>
      </w:pPr>
      <w:r>
        <w:t>5. Similarity Search</w:t>
      </w:r>
    </w:p>
    <w:p>
      <w:pPr>
        <w:pStyle w:val="ListBullet"/>
      </w:pPr>
      <w:r>
        <w:t>Use cosine similarity unless another metric is justified.</w:t>
      </w:r>
    </w:p>
    <w:p>
      <w:pPr>
        <w:pStyle w:val="ListBullet"/>
      </w:pPr>
      <w:r>
        <w:t>Limit candidate set with tenant and business filters.</w:t>
      </w:r>
    </w:p>
    <w:p>
      <w:pPr>
        <w:pStyle w:val="ListBullet"/>
      </w:pPr>
      <w:r>
        <w:t>Combine vector search with metadata filters for hybrid retrieval.</w:t>
      </w:r>
    </w:p>
    <w:p>
      <w:pPr>
        <w:pStyle w:val="Heading2"/>
      </w:pPr>
      <w:r>
        <w:t>6. Indexing</w:t>
      </w:r>
    </w:p>
    <w:p>
      <w:pPr>
        <w:pStyle w:val="ListBullet"/>
      </w:pPr>
      <w:r>
        <w:t>Use HNSW indexes for production workloads.</w:t>
      </w:r>
    </w:p>
    <w:p>
      <w:pPr>
        <w:pStyle w:val="ListBullet"/>
      </w:pPr>
      <w:r>
        <w:t>Tune index parameters using production benchmarks.</w:t>
      </w:r>
    </w:p>
    <w:p>
      <w:pPr>
        <w:pStyle w:val="ListBullet"/>
      </w:pPr>
      <w:r>
        <w:t>Monitor index build duration and memory usage.</w:t>
      </w:r>
    </w:p>
    <w:p>
      <w:pPr>
        <w:pStyle w:val="Heading2"/>
      </w:pPr>
      <w:r>
        <w:t>7. Performance</w:t>
      </w:r>
    </w:p>
    <w:p>
      <w:pPr>
        <w:pStyle w:val="ListBullet"/>
      </w:pPr>
      <w:r>
        <w:t>Batch embedding generation.</w:t>
      </w:r>
    </w:p>
    <w:p>
      <w:pPr>
        <w:pStyle w:val="ListBullet"/>
      </w:pPr>
      <w:r>
        <w:t>Avoid synchronous regeneration during user requests.</w:t>
      </w:r>
    </w:p>
    <w:p>
      <w:pPr>
        <w:pStyle w:val="ListBullet"/>
      </w:pPr>
      <w:r>
        <w:t>Monitor query latency and recall quality.</w:t>
      </w:r>
    </w:p>
    <w:p>
      <w:pPr>
        <w:pStyle w:val="Heading2"/>
      </w:pPr>
      <w:r>
        <w:t>8. Security</w:t>
      </w:r>
    </w:p>
    <w:p>
      <w:pPr>
        <w:pStyle w:val="ListBullet"/>
      </w:pPr>
      <w:r>
        <w:t>Respect tenant isolation during vector search.</w:t>
      </w:r>
    </w:p>
    <w:p>
      <w:pPr>
        <w:pStyle w:val="ListBullet"/>
      </w:pPr>
      <w:r>
        <w:t>Do not embed sensitive secrets or credentials.</w:t>
      </w:r>
    </w:p>
    <w:p>
      <w:pPr>
        <w:pStyle w:val="ListBullet"/>
      </w:pPr>
      <w:r>
        <w:t>Apply the same authorization rules as the source entity.</w:t>
      </w:r>
    </w:p>
    <w:p>
      <w:pPr>
        <w:pStyle w:val="Heading2"/>
      </w:pPr>
      <w:r>
        <w:t>9. Operational Guidelines</w:t>
      </w:r>
    </w:p>
    <w:p>
      <w:pPr>
        <w:pStyle w:val="ListBullet"/>
      </w:pPr>
      <w:r>
        <w:t>Support background re-indexing.</w:t>
      </w:r>
    </w:p>
    <w:p>
      <w:pPr>
        <w:pStyle w:val="ListBullet"/>
      </w:pPr>
      <w:r>
        <w:t>Monitor embedding failures.</w:t>
      </w:r>
    </w:p>
    <w:p>
      <w:pPr>
        <w:pStyle w:val="ListBullet"/>
      </w:pPr>
      <w:r>
        <w:t>Maintain model compatibility during upgrades.</w:t>
      </w:r>
    </w:p>
    <w:p>
      <w:pPr>
        <w:pStyle w:val="ListBullet"/>
      </w:pPr>
      <w:r>
        <w:t>Record embedding job audit information.</w:t>
      </w:r>
    </w:p>
    <w:p>
      <w:pPr>
        <w:pStyle w:val="Heading2"/>
      </w:pPr>
      <w:r>
        <w:t>10. Next Deliverable</w:t>
      </w:r>
    </w:p>
    <w:p>
      <w:r>
        <w:t>DB-009 - Backup &amp; Recovery Standards defines backup strategy, restore testing, disaster recovery, retention, and operational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