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AI-002 - AI Gateway Architecture</w:t>
      </w:r>
    </w:p>
    <w:p>
      <w:r>
        <w:t>Version: 1.0 (Draft)</w:t>
        <w:br/>
        <w:t>Status: Draft</w:t>
      </w:r>
    </w:p>
    <w:p>
      <w:pPr>
        <w:pStyle w:val="Heading2"/>
      </w:pPr>
      <w:r>
        <w:t>1. Purpose</w:t>
      </w:r>
    </w:p>
    <w:p>
      <w:r>
        <w:t>The AI Gateway is the single entry point for all Large Language Model (LLM) and embedding requests. Business services never invoke AI providers directly. This centralizes routing, security, governance, monitoring, and cost management.</w:t>
      </w:r>
    </w:p>
    <w:p>
      <w:pPr>
        <w:pStyle w:val="Heading2"/>
      </w:pPr>
      <w:r>
        <w:t>2. Objectives</w:t>
      </w:r>
    </w:p>
    <w:p>
      <w:r>
        <w:t>• Decouple business services from AI providers</w:t>
        <w:br/>
        <w:t>• Support multiple providers</w:t>
        <w:br/>
        <w:t>• Centralize authentication</w:t>
        <w:br/>
        <w:t>• Retry transient failures</w:t>
        <w:br/>
        <w:t>• Provide provider fallback</w:t>
        <w:br/>
        <w:t>• Track token usage and cost</w:t>
        <w:br/>
        <w:t>• Enforce rate limits</w:t>
        <w:br/>
        <w:t>• Publish AI metrics</w:t>
      </w:r>
    </w:p>
    <w:p>
      <w:pPr>
        <w:pStyle w:val="Heading2"/>
      </w:pPr>
      <w:r>
        <w:t>3. High-Level Flow</w:t>
      </w:r>
    </w:p>
    <w:p>
      <w:r>
        <w:t>Lead Service</w:t>
        <w:br/>
        <w:t>Customer Service</w:t>
        <w:br/>
        <w:t>Knowledge Service</w:t>
        <w:br/>
        <w:t>Conversation Service</w:t>
        <w:br/>
        <w:t xml:space="preserve">        ↓</w:t>
        <w:br/>
        <w:t xml:space="preserve">      AI Gateway</w:t>
        <w:br/>
        <w:t xml:space="preserve">        ↓</w:t>
        <w:br/>
        <w:t xml:space="preserve"> LangChain4j Orchestrator</w:t>
        <w:br/>
        <w:t xml:space="preserve">        ↓</w:t>
        <w:br/>
        <w:t xml:space="preserve"> OpenAI / Gemini / Azure OpenAI / Ollama</w:t>
        <w:br/>
      </w:r>
    </w:p>
    <w:p>
      <w:pPr>
        <w:pStyle w:val="Heading2"/>
      </w:pPr>
      <w:r>
        <w:t>4. Responsibilities</w:t>
      </w:r>
    </w:p>
    <w:p>
      <w:r>
        <w:t>Provider routing</w:t>
        <w:br/>
        <w:t>Model selection</w:t>
        <w:br/>
        <w:t>Prompt execution</w:t>
        <w:br/>
        <w:t>Embedding requests</w:t>
        <w:br/>
        <w:t>Streaming support</w:t>
        <w:br/>
        <w:t>Retry and timeout handling</w:t>
        <w:br/>
        <w:t>Fallback strategy</w:t>
        <w:br/>
        <w:t>Audit logging</w:t>
        <w:br/>
        <w:t>Usage accounting</w:t>
        <w:br/>
        <w:t>Observability</w:t>
      </w:r>
    </w:p>
    <w:p>
      <w:pPr>
        <w:pStyle w:val="Heading2"/>
      </w:pPr>
      <w:r>
        <w:t>5. Configuration</w:t>
      </w:r>
    </w:p>
    <w:p>
      <w:r>
        <w:t>Configurable provider priority</w:t>
        <w:br/>
        <w:t>Default chat model</w:t>
        <w:br/>
        <w:t>Default embedding model</w:t>
        <w:br/>
        <w:t>Temperature</w:t>
        <w:br/>
        <w:t>Max tokens</w:t>
        <w:br/>
        <w:t>Timeouts</w:t>
        <w:br/>
        <w:t>Retry policy</w:t>
        <w:br/>
        <w:t>Circuit breaker</w:t>
      </w:r>
    </w:p>
    <w:p>
      <w:pPr>
        <w:pStyle w:val="Heading2"/>
      </w:pPr>
      <w:r>
        <w:t>6. Security</w:t>
      </w:r>
    </w:p>
    <w:p>
      <w:r>
        <w:t>API key management</w:t>
        <w:br/>
        <w:t>Secrets from Vault/environment</w:t>
        <w:br/>
        <w:t>Tenant isolation</w:t>
        <w:br/>
        <w:t>Request validation</w:t>
        <w:br/>
        <w:t>Prompt logging policy</w:t>
        <w:br/>
        <w:t>PII masking</w:t>
      </w:r>
    </w:p>
    <w:p>
      <w:pPr>
        <w:pStyle w:val="Heading2"/>
      </w:pPr>
      <w:r>
        <w:t>7. Monitoring</w:t>
      </w:r>
    </w:p>
    <w:p>
      <w:r>
        <w:t>Latency</w:t>
        <w:br/>
        <w:t>Provider availability</w:t>
        <w:br/>
        <w:t>Token consumption</w:t>
        <w:br/>
        <w:t>Request volume</w:t>
        <w:br/>
        <w:t>Error rate</w:t>
        <w:br/>
        <w:t>Estimated AI cost</w:t>
        <w:br/>
        <w:t>Model utilization</w:t>
      </w:r>
    </w:p>
    <w:p>
      <w:pPr>
        <w:pStyle w:val="Heading2"/>
      </w:pPr>
      <w:r>
        <w:t>8. Integration</w:t>
      </w:r>
    </w:p>
    <w:p>
      <w:r>
        <w:t>Spring Boot</w:t>
        <w:br/>
        <w:t>LangChain4j</w:t>
        <w:br/>
        <w:t>Redis Cache</w:t>
        <w:br/>
        <w:t>PostgreSQL</w:t>
        <w:br/>
        <w:t>pgvector</w:t>
        <w:br/>
        <w:t>Micrometer</w:t>
        <w:br/>
        <w:t>OpenTelemetry</w:t>
      </w:r>
    </w:p>
    <w:p>
      <w:pPr>
        <w:pStyle w:val="Heading2"/>
      </w:pPr>
      <w:r>
        <w:t>9. Future Enhancements</w:t>
      </w:r>
    </w:p>
    <w:p>
      <w:r>
        <w:t>Dynamic provider routing</w:t>
        <w:br/>
        <w:t>Cost-aware model selection</w:t>
        <w:br/>
        <w:t>A/B testing</w:t>
        <w:br/>
        <w:t>Prompt optimization</w:t>
        <w:br/>
        <w:t>Model health scoring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