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Sales Employee Platform</w:t>
      </w:r>
    </w:p>
    <w:p>
      <w:pPr>
        <w:pStyle w:val="Heading1"/>
      </w:pPr>
      <w:r>
        <w:t>AI-004 - Embedding Platform Architecture</w:t>
      </w:r>
    </w:p>
    <w:p>
      <w:r>
        <w:t>Version: 1.0 (Draft)</w:t>
        <w:br/>
        <w:t>Status: Draft</w:t>
      </w:r>
    </w:p>
    <w:p>
      <w:pPr>
        <w:pStyle w:val="Heading2"/>
      </w:pPr>
      <w:r>
        <w:t>1. Purpose</w:t>
      </w:r>
    </w:p>
    <w:p>
      <w:r>
        <w:t>The Embedding Platform is a reusable platform capability responsible for generating, storing, versioning, and serving vector embeddings used by semantic search, Retrieval-Augmented Generation (RAG), recommendations, duplicate detection, and AI memory.</w:t>
      </w:r>
    </w:p>
    <w:p>
      <w:pPr>
        <w:pStyle w:val="Heading2"/>
      </w:pPr>
      <w:r>
        <w:t>2. Business Motivation</w:t>
      </w:r>
    </w:p>
    <w:p>
      <w:r>
        <w:t>Traditional keyword search cannot understand meaning. Embeddings allow the platform to retrieve semantically related properties, customers, conversations, documents, and knowledge even when different words are used.</w:t>
      </w:r>
    </w:p>
    <w:p>
      <w:pPr>
        <w:pStyle w:val="Heading2"/>
      </w:pPr>
      <w:r>
        <w:t>3. Platform Responsibilities</w:t>
      </w:r>
    </w:p>
    <w:p>
      <w:r>
        <w:t>• Generate embeddings</w:t>
        <w:br/>
        <w:t>• Support multiple embedding providers</w:t>
        <w:br/>
        <w:t>• Store vectors in PostgreSQL pgvector</w:t>
        <w:br/>
        <w:t>• Manage embedding versions</w:t>
        <w:br/>
        <w:t>• Schedule re-embedding</w:t>
        <w:br/>
        <w:t>• Similarity search</w:t>
        <w:br/>
        <w:t>• Embedding cache</w:t>
        <w:br/>
        <w:t>• Retry failed jobs</w:t>
        <w:br/>
        <w:t>• Collect metrics</w:t>
      </w:r>
    </w:p>
    <w:p>
      <w:pPr>
        <w:pStyle w:val="Heading2"/>
      </w:pPr>
      <w:r>
        <w:t>4. Architecture Flow</w:t>
      </w:r>
    </w:p>
    <w:p>
      <w:r>
        <w:t>Business Service</w:t>
        <w:br/>
        <w:t xml:space="preserve">        ↓</w:t>
        <w:br/>
        <w:t>Embedding Service</w:t>
        <w:br/>
        <w:t xml:space="preserve">        ↓</w:t>
        <w:br/>
        <w:t>LangChain4j Embedding Model</w:t>
        <w:br/>
        <w:t xml:space="preserve">        ↓</w:t>
        <w:br/>
        <w:t>Gemini / OpenAI Embedding API</w:t>
        <w:br/>
        <w:t xml:space="preserve">        ↓</w:t>
        <w:br/>
        <w:t>Vector Generated</w:t>
        <w:br/>
        <w:t xml:space="preserve">        ↓</w:t>
        <w:br/>
        <w:t>PostgreSQL pgvector</w:t>
        <w:br/>
        <w:t xml:space="preserve">        ↓</w:t>
        <w:br/>
        <w:t>Vector Search Ready</w:t>
      </w:r>
    </w:p>
    <w:p>
      <w:pPr>
        <w:pStyle w:val="Heading2"/>
      </w:pPr>
      <w:r>
        <w:t>5. Provider Strategy</w:t>
      </w:r>
    </w:p>
    <w:p>
      <w:r>
        <w:t>Primary providers:</w:t>
        <w:br/>
        <w:t>• Gemini Embedding Models</w:t>
        <w:br/>
        <w:t>• OpenAI text-embedding models</w:t>
        <w:br/>
        <w:br/>
        <w:t>Future providers:</w:t>
        <w:br/>
        <w:t>• Azure OpenAI</w:t>
        <w:br/>
        <w:t>• Ollama</w:t>
        <w:br/>
        <w:t>• Other compatible providers</w:t>
      </w:r>
    </w:p>
    <w:p>
      <w:pPr>
        <w:pStyle w:val="Heading2"/>
      </w:pPr>
      <w:r>
        <w:t>6. Database Impact</w:t>
      </w:r>
    </w:p>
    <w:p>
      <w:r>
        <w:t>Recommended platform tables:</w:t>
        <w:br/>
        <w:t>embedding_models</w:t>
        <w:br/>
        <w:t>embedding_jobs</w:t>
        <w:br/>
        <w:t>embedding_versions</w:t>
        <w:br/>
        <w:t>embedding_failures</w:t>
        <w:br/>
        <w:t>property_embeddings</w:t>
        <w:br/>
        <w:t>knowledge_embeddings</w:t>
        <w:br/>
        <w:t>conversation_embeddings</w:t>
        <w:br/>
        <w:t>customer_embeddings</w:t>
        <w:br/>
        <w:br/>
        <w:t>Vectors are stored using PostgreSQL pgvector and indexed with HNSW.</w:t>
      </w:r>
    </w:p>
    <w:p>
      <w:pPr>
        <w:pStyle w:val="Heading2"/>
      </w:pPr>
      <w:r>
        <w:t>7. Lifecycle</w:t>
      </w:r>
    </w:p>
    <w:p>
      <w:r>
        <w:t>Content Created</w:t>
        <w:br/>
        <w:t>↓</w:t>
        <w:br/>
        <w:t>Embedding Requested</w:t>
        <w:br/>
        <w:t>↓</w:t>
        <w:br/>
        <w:t>Vector Generated</w:t>
        <w:br/>
        <w:t>↓</w:t>
        <w:br/>
        <w:t>Stored in pgvector</w:t>
        <w:br/>
        <w:t>↓</w:t>
        <w:br/>
        <w:t>Indexed</w:t>
        <w:br/>
        <w:t>↓</w:t>
        <w:br/>
        <w:t>Available for Semantic Search</w:t>
        <w:br/>
        <w:t>↓</w:t>
        <w:br/>
        <w:t>Re-embedded when content or model changes</w:t>
      </w:r>
    </w:p>
    <w:p>
      <w:pPr>
        <w:pStyle w:val="Heading2"/>
      </w:pPr>
      <w:r>
        <w:t>8. Monitoring</w:t>
      </w:r>
    </w:p>
    <w:p>
      <w:r>
        <w:t>Track:</w:t>
        <w:br/>
        <w:t>Embedding latency</w:t>
        <w:br/>
        <w:t>Provider errors</w:t>
        <w:br/>
        <w:t>Job status</w:t>
        <w:br/>
        <w:t>Vector count</w:t>
        <w:br/>
        <w:t>Model version</w:t>
        <w:br/>
        <w:t>Retry count</w:t>
        <w:br/>
        <w:t>Storage growth</w:t>
        <w:br/>
        <w:t>Embedding cost</w:t>
      </w:r>
    </w:p>
    <w:p>
      <w:pPr>
        <w:pStyle w:val="Heading2"/>
      </w:pPr>
      <w:r>
        <w:t>9. Best Practices</w:t>
      </w:r>
    </w:p>
    <w:p>
      <w:r>
        <w:t>Separate embeddings from business tables when practical.</w:t>
        <w:br/>
        <w:t>Version every embedding.</w:t>
        <w:br/>
        <w:t>Never couple business services directly to provider APIs.</w:t>
        <w:br/>
        <w:t>Generate embeddings asynchronously for long-running operations.</w:t>
        <w:br/>
        <w:t>Support model replacement without schema redesign.</w:t>
      </w:r>
    </w:p>
    <w:p>
      <w:pPr>
        <w:pStyle w:val="Heading2"/>
      </w:pPr>
      <w:r>
        <w:t>10. Related Documents</w:t>
      </w:r>
    </w:p>
    <w:p>
      <w:r>
        <w:t>AI-001 AI Platform Overview</w:t>
        <w:br/>
        <w:t>AI-002 AI Gateway</w:t>
        <w:br/>
        <w:t>AI-003 LangChain4j</w:t>
        <w:br/>
        <w:t>AI-005 RAG Platform</w:t>
        <w:br/>
        <w:t>DDS-001 Database Design Specification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