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MS-002 - Tenant Service Specification</w:t>
      </w:r>
    </w:p>
    <w:p>
      <w:r>
        <w:t>Version: 1.0 (Implementation Draft)</w:t>
        <w:br/>
        <w:t>Status: Draft</w:t>
      </w:r>
    </w:p>
    <w:p>
      <w:pPr>
        <w:pStyle w:val="Heading2"/>
      </w:pPr>
      <w:r>
        <w:t>1. Executive Summary</w:t>
      </w:r>
    </w:p>
    <w:p>
      <w:r>
        <w:t>The Tenant Service manages the complete lifecycle of tenants in the multi-tenant SaaS platform. It owns tenant provisioning, subscription metadata, tenant configuration, feature flags, quotas, and tenant activation.</w:t>
      </w:r>
    </w:p>
    <w:p>
      <w:pPr>
        <w:pStyle w:val="Heading2"/>
      </w:pPr>
      <w:r>
        <w:t>2. Business Responsibilities</w:t>
      </w:r>
    </w:p>
    <w:p>
      <w:r>
        <w:t>• Tenant registration</w:t>
        <w:br/>
        <w:t>• Tenant provisioning</w:t>
        <w:br/>
        <w:t>• Tenant activation/deactivation</w:t>
        <w:br/>
        <w:t>• Subscription management</w:t>
        <w:br/>
        <w:t>• Tenant configuration</w:t>
        <w:br/>
        <w:t>• Feature flags</w:t>
        <w:br/>
        <w:t>• Usage quotas</w:t>
        <w:br/>
        <w:t>• Tenant lifecycle management</w:t>
      </w:r>
    </w:p>
    <w:p>
      <w:pPr>
        <w:pStyle w:val="Heading2"/>
      </w:pPr>
      <w:r>
        <w:t>3. Service Boundaries</w:t>
      </w:r>
    </w:p>
    <w:p>
      <w:r>
        <w:t>Owns:</w:t>
        <w:br/>
        <w:t>- Tenants</w:t>
        <w:br/>
        <w:t>- Tenant settings</w:t>
        <w:br/>
        <w:t>- Subscription plans</w:t>
        <w:br/>
        <w:t>- Feature flags</w:t>
        <w:br/>
        <w:t>- Usage quotas</w:t>
        <w:br/>
        <w:br/>
        <w:t>Does NOT own:</w:t>
        <w:br/>
        <w:t>- Users</w:t>
        <w:br/>
        <w:t>- CRM data</w:t>
        <w:br/>
        <w:t>- Billing transactions</w:t>
        <w:br/>
        <w:t>- AI platform components</w:t>
      </w:r>
    </w:p>
    <w:p>
      <w:pPr>
        <w:pStyle w:val="Heading2"/>
      </w:pPr>
      <w:r>
        <w:t>4. Public REST APIs</w:t>
      </w:r>
    </w:p>
    <w:p>
      <w:r>
        <w:t>POST   /tenants</w:t>
        <w:br/>
        <w:t>GET    /tenants/{tenantId}</w:t>
        <w:br/>
        <w:t>PUT    /tenants/{tenantId}</w:t>
        <w:br/>
        <w:t>DELETE /tenants/{tenantId}</w:t>
        <w:br/>
        <w:t>GET    /tenants/{tenantId}/settings</w:t>
        <w:br/>
        <w:t>PUT    /tenants/{tenantId}/settings</w:t>
        <w:br/>
        <w:t>GET    /tenants/{tenantId}/features</w:t>
        <w:br/>
        <w:t>PUT    /tenants/{tenantId}/features</w:t>
      </w:r>
    </w:p>
    <w:p>
      <w:pPr>
        <w:pStyle w:val="Heading2"/>
      </w:pPr>
      <w:r>
        <w:t>5. Domain Model</w:t>
      </w:r>
    </w:p>
    <w:p>
      <w:r>
        <w:t>Aggregate Root:</w:t>
        <w:br/>
        <w:t>Tenant</w:t>
        <w:br/>
        <w:br/>
        <w:t>Entities:</w:t>
        <w:br/>
        <w:t>TenantSettings</w:t>
        <w:br/>
        <w:t>Subscription</w:t>
        <w:br/>
        <w:t>FeatureFlag</w:t>
        <w:br/>
        <w:t>UsageQuota</w:t>
        <w:br/>
        <w:br/>
        <w:t>Value Objects:</w:t>
        <w:br/>
        <w:t>TenantCode</w:t>
        <w:br/>
        <w:t>TenantStatus</w:t>
        <w:br/>
        <w:t>SubscriptionPeriod</w:t>
      </w:r>
    </w:p>
    <w:p>
      <w:pPr>
        <w:pStyle w:val="Heading2"/>
      </w:pPr>
      <w:r>
        <w:t>6. Database Mapping</w:t>
      </w:r>
    </w:p>
    <w:p>
      <w:r>
        <w:t>Tables:</w:t>
        <w:br/>
        <w:t>tenants</w:t>
        <w:br/>
        <w:t>tenant_settings</w:t>
        <w:br/>
        <w:t>subscription_plans</w:t>
        <w:br/>
        <w:t>tenant_subscriptions</w:t>
        <w:br/>
        <w:t>tenant_features</w:t>
        <w:br/>
        <w:t>tenant_quotas</w:t>
        <w:br/>
        <w:t>tenant_audit_log</w:t>
      </w:r>
    </w:p>
    <w:p>
      <w:pPr>
        <w:pStyle w:val="Heading2"/>
      </w:pPr>
      <w:r>
        <w:t>7. Tenant Provisioning Flow</w:t>
      </w:r>
    </w:p>
    <w:p>
      <w:r>
        <w:t>Create Tenant</w:t>
        <w:br/>
        <w:t>↓</w:t>
        <w:br/>
        <w:t>Validate Request</w:t>
        <w:br/>
        <w:t>↓</w:t>
        <w:br/>
        <w:t>Persist Tenant</w:t>
        <w:br/>
        <w:t>↓</w:t>
        <w:br/>
        <w:t>Initialize Default Settings</w:t>
        <w:br/>
        <w:t>↓</w:t>
        <w:br/>
        <w:t>Assign Default Subscription</w:t>
        <w:br/>
        <w:t>↓</w:t>
        <w:br/>
        <w:t>Publish TenantCreated Event</w:t>
      </w:r>
    </w:p>
    <w:p>
      <w:pPr>
        <w:pStyle w:val="Heading2"/>
      </w:pPr>
      <w:r>
        <w:t>8. Multi-Tenancy Strategy</w:t>
      </w:r>
    </w:p>
    <w:p>
      <w:r>
        <w:t>Every business request resolves a Tenant Context.</w:t>
        <w:br/>
        <w:t>The tenant identifier is propagated from the authenticated request.</w:t>
        <w:br/>
        <w:t>All downstream services enforce tenant isolation using the Tenant Context.</w:t>
      </w:r>
    </w:p>
    <w:p>
      <w:pPr>
        <w:pStyle w:val="Heading2"/>
      </w:pPr>
      <w:r>
        <w:t>9. Events</w:t>
      </w:r>
    </w:p>
    <w:p>
      <w:r>
        <w:t>Publishes:</w:t>
        <w:br/>
        <w:t>TenantCreated</w:t>
        <w:br/>
        <w:t>TenantUpdated</w:t>
        <w:br/>
        <w:t>TenantActivated</w:t>
        <w:br/>
        <w:t>TenantSuspended</w:t>
        <w:br/>
        <w:t>TenantDeleted</w:t>
        <w:br/>
        <w:br/>
        <w:t>Consumes:</w:t>
        <w:br/>
        <w:t>SubscriptionChanged</w:t>
        <w:br/>
        <w:t>PaymentSucceeded</w:t>
        <w:br/>
        <w:t>PaymentFailed</w:t>
      </w:r>
    </w:p>
    <w:p>
      <w:pPr>
        <w:pStyle w:val="Heading2"/>
      </w:pPr>
      <w:r>
        <w:t>10. Package Structure</w:t>
      </w:r>
    </w:p>
    <w:p>
      <w:r>
        <w:t>api/</w:t>
        <w:br/>
        <w:t>application/</w:t>
        <w:br/>
        <w:t>domain/</w:t>
        <w:br/>
        <w:t>repository/</w:t>
        <w:br/>
        <w:t>configuration/</w:t>
        <w:br/>
        <w:t>events/</w:t>
        <w:br/>
        <w:t>integration/</w:t>
        <w:br/>
        <w:t>monitoring/</w:t>
      </w:r>
    </w:p>
    <w:p>
      <w:pPr>
        <w:pStyle w:val="Heading2"/>
      </w:pPr>
      <w:r>
        <w:t>11. Observability</w:t>
      </w:r>
    </w:p>
    <w:p>
      <w:r>
        <w:t>Metrics:</w:t>
        <w:br/>
        <w:t>Tenant creation rate</w:t>
        <w:br/>
        <w:t>Active tenants</w:t>
        <w:br/>
        <w:t>Provisioning latency</w:t>
        <w:br/>
        <w:br/>
        <w:t>Logs:</w:t>
        <w:br/>
        <w:t>Provisioning events</w:t>
        <w:br/>
        <w:t>Configuration changes</w:t>
        <w:br/>
        <w:t>Audit events</w:t>
        <w:br/>
        <w:br/>
        <w:t>Tracing:</w:t>
        <w:br/>
        <w:t>Provisioning workflow</w:t>
      </w:r>
    </w:p>
    <w:p>
      <w:pPr>
        <w:pStyle w:val="Heading2"/>
      </w:pPr>
      <w:r>
        <w:t>12. Testing Strategy</w:t>
      </w:r>
    </w:p>
    <w:p>
      <w:r>
        <w:t>Unit tests</w:t>
        <w:br/>
        <w:t>Integration tests</w:t>
        <w:br/>
        <w:t>Tenant isolation tests</w:t>
        <w:br/>
        <w:t>API contract tests</w:t>
        <w:br/>
        <w:t>Performance tests</w:t>
      </w:r>
    </w:p>
    <w:p>
      <w:pPr>
        <w:pStyle w:val="Heading2"/>
      </w:pPr>
      <w:r>
        <w:t>13. Future Evolution</w:t>
      </w:r>
    </w:p>
    <w:p>
      <w:r>
        <w:t>Tenant onboarding wizard</w:t>
        <w:br/>
        <w:t>Self-service administration</w:t>
        <w:br/>
        <w:t>Custom domains</w:t>
        <w:br/>
        <w:t>Regional deployments</w:t>
        <w:br/>
        <w:t>Enterprise policy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