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greenelab/covid19-review@108d087</w:t>
        </w:r>
      </w:hyperlink>
      <w:r>
        <w:t xml:space="preserve"> </w:t>
      </w:r>
      <w:r>
        <w:t xml:space="preserve">on January 28,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caused by the</w:t>
      </w:r>
      <w:r>
        <w:t xml:space="preserve"> </w:t>
      </w:r>
      <w:r>
        <w:rPr>
          <w:i/>
        </w:rPr>
        <w:t xml:space="preserve">Severe acute respiratory syndrome-related coronavirus 2</w:t>
      </w:r>
      <w:r>
        <w:t xml:space="preserve"> </w:t>
      </w:r>
      <w:r>
        <w:t xml:space="preserve">(SARS-CoV-2), has caused global disruption and a significant loss of life.</w:t>
      </w:r>
      <w:r>
        <w:t xml:space="preserve"> </w:t>
      </w:r>
      <w:r>
        <w:t xml:space="preserve">Scientists and physicians around the world have worked to discover and develop novel treatments or repurpose existing treatments as prophylactic and therapeutic agents to stem the spread of SARS-CoV-2 and reduce the devastation of this pandemic.</w:t>
      </w:r>
      <w:r>
        <w:t xml:space="preserve"> </w:t>
      </w:r>
      <w:r>
        <w:t xml:space="preserve">Dietary supplements and nutraceuticals are also being investigated in this context.</w:t>
      </w:r>
      <w:r>
        <w:t xml:space="preserve"> </w:t>
      </w:r>
      <w:r>
        <w:t xml:space="preserve">Despite a lack of evidence to support their efficacy or safety for the treatment or prevention of COVID-19, the beginning of the pandemic led to increased sales of vitamins, supplements, nutraceuticals, and various other products purporting</w:t>
      </w:r>
      <w:r>
        <w:t xml:space="preserve"> </w:t>
      </w:r>
      <w:r>
        <w:t xml:space="preserve">“</w:t>
      </w:r>
      <w:r>
        <w:t xml:space="preserve">immune-boosting</w:t>
      </w:r>
      <w:r>
        <w:t xml:space="preserve">”</w:t>
      </w:r>
      <w:r>
        <w:t xml:space="preserve"> </w:t>
      </w:r>
      <w:r>
        <w:t xml:space="preserve">effects.</w:t>
      </w:r>
      <w:r>
        <w:t xml:space="preserve"> </w:t>
      </w:r>
      <w:r>
        <w:t xml:space="preserve">Considerable interest within the scientific community along with emerging evidence of potential applications in other therapeutic contexts have led to further investigation of these products.</w:t>
      </w:r>
      <w:r>
        <w:t xml:space="preserve"> </w:t>
      </w:r>
      <w:r>
        <w:t xml:space="preserve">In this review, we critically appraise the evidence surrounding dietary supplements and nutraceuticals for the prophylaxis and treatment of COVID-19.</w:t>
      </w:r>
      <w:r>
        <w:t xml:space="preserve"> </w:t>
      </w:r>
      <w:r>
        <w:t xml:space="preserve">These include vitamin C, vitamin D, omega 3 polyunsaturated fatty acids (PUFA), probiotics, and zinc.</w:t>
      </w:r>
      <w:r>
        <w:t xml:space="preserve"> </w:t>
      </w:r>
      <w:r>
        <w:t xml:space="preserve">These compounds were selected because they are currently under clinical investigation.</w:t>
      </w:r>
      <w:r>
        <w:t xml:space="preserve"> </w:t>
      </w:r>
      <w:r>
        <w:t xml:space="preserve">For example, there is increasing evidence to suggest that vitamin D supplementation may be beneficial due to a plausible association between vitamin D deficiency and COVID-19 incidence as well as, possibly, with disease severity.</w:t>
      </w:r>
      <w:r>
        <w:t xml:space="preserve"> </w:t>
      </w:r>
      <w:r>
        <w:t xml:space="preserve">A growing number of scientific organizations are now considering or advising vitamin D supplementation to those at high risk of COVID-19.</w:t>
      </w:r>
      <w:r>
        <w:t xml:space="preserve"> </w:t>
      </w:r>
      <w:r>
        <w:t xml:space="preserve">Overall, though, caution is warranted, as further evidence and clinical trials are required before conclusive evidence-based recommendations can be formulated for any specific dietary supplements or nutraceuticals.</w:t>
      </w:r>
      <w:r>
        <w:t xml:space="preserve"> </w:t>
      </w:r>
      <w:r>
        <w:t xml:space="preserve">Consumers should also be aware of misinformation and false promises surrounding some supplement products, which may lack safety and efficacy evidence due to poor regulation by authorities.</w:t>
      </w:r>
      <w:r>
        <w:t xml:space="preserve"> </w:t>
      </w:r>
      <w:r>
        <w:t xml:space="preserve">Considering that nutritional status plays a significant role in patient outcomes, it would be prudent to advise the general public to follow a healthy diet and lifestyle to prevent nutrient deficiencies and to maintain a healthy immune system.</w:t>
      </w:r>
      <w:r>
        <w:t xml:space="preserve"> </w:t>
      </w:r>
      <w:r>
        <w:t xml:space="preserve">Here, we evaluate the extent to which these nutraceutical and dietary supplements might play a role in these efforts.</w:t>
      </w:r>
    </w:p>
    <w:p>
      <w:pPr>
        <w:pStyle w:val="Heading2"/>
      </w:pPr>
      <w:bookmarkStart w:id="34" w:name="importance"/>
      <w:r>
        <w:t xml:space="preserve">Importance</w:t>
      </w:r>
      <w:bookmarkEnd w:id="34"/>
    </w:p>
    <w:p>
      <w:pPr>
        <w:pStyle w:val="FirstParagraph"/>
      </w:pPr>
      <w:r>
        <w:t xml:space="preserve">Sales of dietary supplements and nutraceuticals have increased since the start of the pandemic due to their perceived health benefits.</w:t>
      </w:r>
      <w:r>
        <w:t xml:space="preserve"> </w:t>
      </w:r>
      <w:r>
        <w:t xml:space="preserve">These include vitamin C, vitamin D, and zinc, which many consider synonymous with the treatment of respiratory infections and support of immune health.</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One of the most convincing connections between dietary supplements/nutraceuticals and COVID-19 is evidence indicating that vitamin D deficiency may be associated with greater incidence of infection and severe COVID-19, suggesting that vitamin D supplementation may be of prophylactic and therapeutic value.</w:t>
      </w:r>
      <w:r>
        <w:t xml:space="preserve"> </w:t>
      </w:r>
      <w:r>
        <w:t xml:space="preserve">However, considerably more research is required to determine whether dietary supplements and nutraceuticals exhibit prophylactic and therapeutic value against SARS-CoV-2 infection and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br/>
      </w:r>
      <w:r>
        <w:t xml:space="preserve">There are significant concern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 (TLR7)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(ACE)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FO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omega-3 fatty acids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 in hospitalized COVID-19 patients to determine whether n-3 PUFA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(NF-kB),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(RDA)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RDA recommended by the FDA is 75-90 mg/d, and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(CRP),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(TNF)-α.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r>
        <w:t xml:space="preserve"> </w:t>
      </w: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br/>
      </w:r>
      <w:r>
        <w:t xml:space="preserve">While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CRP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br/>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(BAME)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br/>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(TLR)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the ACE2 receptor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 (MIS-C)</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 Beta</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(2020-08-12)</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fa9eefe0-61bf-11eb-8b61-817bc1f23176&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(2021-01-27)</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108d087323774c2ad9557e8fcd2c9002a13be747"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108d087323774c2ad9557e8fcd2c9002a13be747/"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fa9eefe0-61bf-11eb-8b61-817bc1f23176&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108d087323774c2ad9557e8fcd2c9002a13be747"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108d087323774c2ad9557e8fcd2c9002a13be747/"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fa9eefe0-61bf-11eb-8b61-817bc1f23176&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2021-01-28T23:24:44Z</dcterms:created>
  <dcterms:modified xsi:type="dcterms:W3CDTF">2021-01-28T23:24:44Z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