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365D"/>
          <w:sz w:val="32"/>
        </w:rPr>
        <w:t>Individual Contributor Reflection</w:t>
      </w:r>
    </w:p>
    <w:p>
      <w:pPr>
        <w:spacing w:after="320"/>
      </w:pPr>
      <w:r>
        <w:rPr>
          <w:b/>
          <w:color w:val="2B6CB0"/>
          <w:sz w:val="24"/>
        </w:rPr>
        <w:t>Nakul Sriraj</w:t>
      </w:r>
      <w:r>
        <w:rPr>
          <w:color w:val="4A5568"/>
          <w:sz w:val="21"/>
        </w:rPr>
        <w:t xml:space="preserve"> — Business Strategy &amp; Reporting Lead</w:t>
        <w:br/>
      </w:r>
      <w:r>
        <w:rPr>
          <w:color w:val="718096"/>
          <w:sz w:val="17"/>
        </w:rPr>
        <w:t>Calibo AI Academy · Path 2 · KLU Batch · MUC01 Retail Analytics</w:t>
      </w:r>
    </w:p>
    <w:p>
      <w:pPr>
        <w:spacing w:after="280"/>
      </w:pPr>
      <w:r>
        <w:rPr>
          <w:b/>
        </w:rPr>
        <w:t xml:space="preserve">Owned Sections: </w:t>
      </w:r>
      <w:r>
        <w:t>Step 6 (Category Manager Briefing) · Step 7 (90-Day Operational Roadmap) · Visual System Pass</w:t>
      </w:r>
    </w:p>
    <w:p>
      <w:pPr>
        <w:spacing w:line="300" w:lineRule="auto" w:after="240"/>
      </w:pPr>
      <w:r>
        <w:t>I owned Step 6 (Category Manager Briefing) and Step 7 (the 90-Day Operational Roadmap), along with leading the visual consistency pass across the team's charts. My primary objective was translating exploratory data into high-stakes commercial strategy. Synthesizing Adiseshu’s category findings revealed that Electronics had surrendered ₹16.0M in monthly baseline revenue (−35%), giving the Category Manager concrete leverage to push back against legacy supplier demands. Furthermore, integrating Sushmitha’s discount analysis allowed us to frame the 0%–20% promotional ladder as an outright margin leak rather than an organic volume driver. Learning to condense technical findings into an actionable, four-point executive briefing and operational roadmap taught me that data only creates impact when tied directly to commercial accountability. From Naishadh’s SSOT validation, I saw firsthand how strict data governance provides the foundation necessary to defend recommendations in an executive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