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565C0"/>
          <w:sz w:val="32"/>
          <w:szCs w:val="32"/>
        </w:rPr>
        <w:t xml:space="preserve">Traceable Harmonization of Ocean Data for ML Readiness</w:t>
      </w:r>
    </w:p>
    <w:p>
      <w:pPr>
        <w:spacing w:after="240"/>
        <w:jc w:val="center"/>
      </w:pPr>
      <w:r>
        <w:rPr>
          <w:rFonts w:ascii="Arial" w:cs="Arial" w:eastAsia="Arial" w:hAnsi="Arial"/>
          <w:color w:val="777777"/>
          <w:sz w:val="20"/>
          <w:szCs w:val="20"/>
        </w:rPr>
        <w:t xml:space="preserve">Nalluraj Babu  •  April 2026</w:t>
      </w:r>
    </w:p>
    <w:p>
      <w:pPr>
        <w:pStyle w:val="Heading1"/>
      </w:pPr>
      <w:r>
        <w:t xml:space="preserve">The Challenge</w:t>
      </w:r>
    </w:p>
    <w:p>
      <w:pPr>
        <w:spacing w:after="100"/>
      </w:pPr>
      <w:r>
        <w:rPr>
          <w:sz w:val="21"/>
          <w:szCs w:val="21"/>
        </w:rPr>
        <w:t xml:space="preserve">Ocean researchers and ML practitioners face a recurring problem when working with multi-source ocean temperature data: no two institutions format their data the same way. Variable names differ, units differ, file structures differ, and there is rarely a clear audit trail showing how raw observations became training-ready arrays. We set out to understand this problem deeply and design a solution before writing a single line of implementation code.</w:t>
      </w:r>
    </w:p>
    <w:p>
      <w:pPr>
        <w:pStyle w:val="Heading1"/>
      </w:pPr>
      <w:r>
        <w:t xml:space="preserve">What We Did</w:t>
      </w:r>
    </w:p>
    <w:p>
      <w:pPr>
        <w:spacing w:after="80"/>
      </w:pPr>
      <w:r>
        <w:rPr>
          <w:sz w:val="21"/>
          <w:szCs w:val="21"/>
        </w:rPr>
        <w:t xml:space="preserve">We selected three real ocean temperature datasets from ERDDAP servers, each from a different institution in the Northeast Pacific. The goal was to study the full spectrum of heterogeneity that a harmonization pipeline would need to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1800"/>
        <w:gridCol w:w="1760"/>
      </w:tblGrid>
      <w:tr>
        <w:tc>
          <w:tcPr>
            <w:tcW w:type="dxa" w:w="2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4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18"/>
                <w:szCs w:val="18"/>
              </w:rPr>
              <w:t xml:space="preserve">Temp Variable</w:t>
            </w:r>
          </w:p>
        </w:tc>
        <w:tc>
          <w:tcPr>
            <w:tcW w:type="dxa" w:w="1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18"/>
                <w:szCs w:val="18"/>
              </w:rPr>
              <w:t xml:space="preserve">Units</w:t>
            </w:r>
          </w:p>
        </w:tc>
        <w:tc>
          <w:tcPr>
            <w:tcW w:type="dxa" w:w="18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18"/>
                <w:szCs w:val="18"/>
              </w:rPr>
              <w:t xml:space="preserve">Structure</w:t>
            </w:r>
          </w:p>
        </w:tc>
        <w:tc>
          <w:tcPr>
            <w:tcW w:type="dxa" w:w="176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18"/>
                <w:szCs w:val="18"/>
              </w:rPr>
              <w:t xml:space="preserve">Size</w:t>
            </w:r>
          </w:p>
        </w:tc>
      </w:tr>
      <w:tr>
        <w:tc>
          <w:tcPr>
            <w:tcW w:type="dxa" w:w="2200"/>
            <w:tcBorders>
              <w:top w:val="single" w:color="CCCCCC" w:sz="1"/>
              <w:left w:val="single" w:color="CCCCCC" w:sz="1"/>
              <w:bottom w:val="single" w:color="CCCCCC" w:sz="1"/>
              <w:right w:val="single" w:color="CCCCCC" w:sz="1"/>
            </w:tcBorders>
            <w:shd w:fill="F0F6FC" w:val="clear"/>
            <w:tcMar>
              <w:top w:type="dxa" w:w="60"/>
              <w:left w:type="dxa" w:w="100"/>
              <w:bottom w:type="dxa" w:w="60"/>
              <w:right w:type="dxa" w:w="100"/>
            </w:tcMar>
          </w:tcPr>
          <w:p>
            <w:r>
              <w:rPr>
                <w:rFonts w:ascii="Arial" w:cs="Arial" w:eastAsia="Arial" w:hAnsi="Arial"/>
                <w:sz w:val="18"/>
                <w:szCs w:val="18"/>
              </w:rPr>
              <w:t xml:space="preserve">Ocean Networks Canada</w:t>
            </w:r>
          </w:p>
        </w:tc>
        <w:tc>
          <w:tcPr>
            <w:tcW w:type="dxa" w:w="2400"/>
            <w:tcBorders>
              <w:top w:val="single" w:color="CCCCCC" w:sz="1"/>
              <w:left w:val="single" w:color="CCCCCC" w:sz="1"/>
              <w:bottom w:val="single" w:color="CCCCCC" w:sz="1"/>
              <w:right w:val="single" w:color="CCCCCC" w:sz="1"/>
            </w:tcBorders>
            <w:shd w:fill="F0F6FC" w:val="clear"/>
            <w:tcMar>
              <w:top w:type="dxa" w:w="60"/>
              <w:left w:type="dxa" w:w="100"/>
              <w:bottom w:type="dxa" w:w="60"/>
              <w:right w:type="dxa" w:w="100"/>
            </w:tcMar>
          </w:tcPr>
          <w:p>
            <w:r>
              <w:rPr>
                <w:rFonts w:ascii="Arial" w:cs="Arial" w:eastAsia="Arial" w:hAnsi="Arial"/>
                <w:sz w:val="18"/>
                <w:szCs w:val="18"/>
              </w:rPr>
              <w:t xml:space="preserve">Temperature</w:t>
            </w:r>
          </w:p>
        </w:tc>
        <w:tc>
          <w:tcPr>
            <w:tcW w:type="dxa" w:w="1200"/>
            <w:tcBorders>
              <w:top w:val="single" w:color="CCCCCC" w:sz="1"/>
              <w:left w:val="single" w:color="CCCCCC" w:sz="1"/>
              <w:bottom w:val="single" w:color="CCCCCC" w:sz="1"/>
              <w:right w:val="single" w:color="CCCCCC" w:sz="1"/>
            </w:tcBorders>
            <w:shd w:fill="F0F6FC" w:val="clear"/>
            <w:tcMar>
              <w:top w:type="dxa" w:w="60"/>
              <w:left w:type="dxa" w:w="100"/>
              <w:bottom w:type="dxa" w:w="60"/>
              <w:right w:type="dxa" w:w="100"/>
            </w:tcMar>
          </w:tcPr>
          <w:p>
            <w:r>
              <w:rPr>
                <w:rFonts w:ascii="Arial" w:cs="Arial" w:eastAsia="Arial" w:hAnsi="Arial"/>
                <w:sz w:val="18"/>
                <w:szCs w:val="18"/>
              </w:rPr>
              <w:t xml:space="preserve">Kelvin</w:t>
            </w:r>
          </w:p>
        </w:tc>
        <w:tc>
          <w:tcPr>
            <w:tcW w:type="dxa" w:w="1800"/>
            <w:tcBorders>
              <w:top w:val="single" w:color="CCCCCC" w:sz="1"/>
              <w:left w:val="single" w:color="CCCCCC" w:sz="1"/>
              <w:bottom w:val="single" w:color="CCCCCC" w:sz="1"/>
              <w:right w:val="single" w:color="CCCCCC" w:sz="1"/>
            </w:tcBorders>
            <w:shd w:fill="F0F6FC" w:val="clear"/>
            <w:tcMar>
              <w:top w:type="dxa" w:w="60"/>
              <w:left w:type="dxa" w:w="100"/>
              <w:bottom w:type="dxa" w:w="60"/>
              <w:right w:type="dxa" w:w="100"/>
            </w:tcMar>
          </w:tcPr>
          <w:p>
            <w:r>
              <w:rPr>
                <w:rFonts w:ascii="Arial" w:cs="Arial" w:eastAsia="Arial" w:hAnsi="Arial"/>
                <w:sz w:val="18"/>
                <w:szCs w:val="18"/>
              </w:rPr>
              <w:t xml:space="preserve">Tabular (1D)</w:t>
            </w:r>
          </w:p>
        </w:tc>
        <w:tc>
          <w:tcPr>
            <w:tcW w:type="dxa" w:w="1760"/>
            <w:tcBorders>
              <w:top w:val="single" w:color="CCCCCC" w:sz="1"/>
              <w:left w:val="single" w:color="CCCCCC" w:sz="1"/>
              <w:bottom w:val="single" w:color="CCCCCC" w:sz="1"/>
              <w:right w:val="single" w:color="CCCCCC" w:sz="1"/>
            </w:tcBorders>
            <w:shd w:fill="F0F6FC" w:val="clear"/>
            <w:tcMar>
              <w:top w:type="dxa" w:w="60"/>
              <w:left w:type="dxa" w:w="100"/>
              <w:bottom w:type="dxa" w:w="60"/>
              <w:right w:type="dxa" w:w="100"/>
            </w:tcMar>
          </w:tcPr>
          <w:p>
            <w:r>
              <w:rPr>
                <w:rFonts w:ascii="Arial" w:cs="Arial" w:eastAsia="Arial" w:hAnsi="Arial"/>
                <w:sz w:val="18"/>
                <w:szCs w:val="18"/>
              </w:rPr>
              <w:t xml:space="preserve">1,020 rows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NOAA CoastWatch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Fahrenheit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4D Grid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63.4M cells</w:t>
            </w:r>
          </w:p>
        </w:tc>
      </w:tr>
      <w:tr>
        <w:tc>
          <w:tcPr>
            <w:tcW w:type="dxa" w:w="2200"/>
            <w:tcBorders>
              <w:top w:val="single" w:color="CCCCCC" w:sz="1"/>
              <w:left w:val="single" w:color="CCCCCC" w:sz="1"/>
              <w:bottom w:val="single" w:color="CCCCCC" w:sz="1"/>
              <w:right w:val="single" w:color="CCCCCC" w:sz="1"/>
            </w:tcBorders>
            <w:shd w:fill="F0F6FC" w:val="clear"/>
            <w:tcMar>
              <w:top w:type="dxa" w:w="60"/>
              <w:left w:type="dxa" w:w="100"/>
              <w:bottom w:type="dxa" w:w="60"/>
              <w:right w:type="dxa" w:w="100"/>
            </w:tcMar>
          </w:tcPr>
          <w:p>
            <w:r>
              <w:rPr>
                <w:rFonts w:ascii="Arial" w:cs="Arial" w:eastAsia="Arial" w:hAnsi="Arial"/>
                <w:sz w:val="18"/>
                <w:szCs w:val="18"/>
              </w:rPr>
              <w:t xml:space="preserve">OOI Cabled Array</w:t>
            </w:r>
          </w:p>
        </w:tc>
        <w:tc>
          <w:tcPr>
            <w:tcW w:type="dxa" w:w="2400"/>
            <w:tcBorders>
              <w:top w:val="single" w:color="CCCCCC" w:sz="1"/>
              <w:left w:val="single" w:color="CCCCCC" w:sz="1"/>
              <w:bottom w:val="single" w:color="CCCCCC" w:sz="1"/>
              <w:right w:val="single" w:color="CCCCCC" w:sz="1"/>
            </w:tcBorders>
            <w:shd w:fill="F0F6FC" w:val="clear"/>
            <w:tcMar>
              <w:top w:type="dxa" w:w="60"/>
              <w:left w:type="dxa" w:w="100"/>
              <w:bottom w:type="dxa" w:w="60"/>
              <w:right w:type="dxa" w:w="100"/>
            </w:tcMar>
          </w:tcPr>
          <w:p>
            <w:r>
              <w:rPr>
                <w:rFonts w:ascii="Arial" w:cs="Arial" w:eastAsia="Arial" w:hAnsi="Arial"/>
                <w:sz w:val="18"/>
                <w:szCs w:val="18"/>
              </w:rPr>
              <w:t xml:space="preserve">sea_water_temperature_01</w:t>
            </w:r>
          </w:p>
        </w:tc>
        <w:tc>
          <w:tcPr>
            <w:tcW w:type="dxa" w:w="1200"/>
            <w:tcBorders>
              <w:top w:val="single" w:color="CCCCCC" w:sz="1"/>
              <w:left w:val="single" w:color="CCCCCC" w:sz="1"/>
              <w:bottom w:val="single" w:color="CCCCCC" w:sz="1"/>
              <w:right w:val="single" w:color="CCCCCC" w:sz="1"/>
            </w:tcBorders>
            <w:shd w:fill="F0F6FC" w:val="clear"/>
            <w:tcMar>
              <w:top w:type="dxa" w:w="60"/>
              <w:left w:type="dxa" w:w="100"/>
              <w:bottom w:type="dxa" w:w="60"/>
              <w:right w:type="dxa" w:w="100"/>
            </w:tcMar>
          </w:tcPr>
          <w:p>
            <w:r>
              <w:rPr>
                <w:rFonts w:ascii="Arial" w:cs="Arial" w:eastAsia="Arial" w:hAnsi="Arial"/>
                <w:sz w:val="18"/>
                <w:szCs w:val="18"/>
              </w:rPr>
              <w:t xml:space="preserve">Celsius</w:t>
            </w:r>
          </w:p>
        </w:tc>
        <w:tc>
          <w:tcPr>
            <w:tcW w:type="dxa" w:w="1800"/>
            <w:tcBorders>
              <w:top w:val="single" w:color="CCCCCC" w:sz="1"/>
              <w:left w:val="single" w:color="CCCCCC" w:sz="1"/>
              <w:bottom w:val="single" w:color="CCCCCC" w:sz="1"/>
              <w:right w:val="single" w:color="CCCCCC" w:sz="1"/>
            </w:tcBorders>
            <w:shd w:fill="F0F6FC" w:val="clear"/>
            <w:tcMar>
              <w:top w:type="dxa" w:w="60"/>
              <w:left w:type="dxa" w:w="100"/>
              <w:bottom w:type="dxa" w:w="60"/>
              <w:right w:type="dxa" w:w="100"/>
            </w:tcMar>
          </w:tcPr>
          <w:p>
            <w:r>
              <w:rPr>
                <w:rFonts w:ascii="Arial" w:cs="Arial" w:eastAsia="Arial" w:hAnsi="Arial"/>
                <w:sz w:val="18"/>
                <w:szCs w:val="18"/>
              </w:rPr>
              <w:t xml:space="preserve">Tabular (1D)</w:t>
            </w:r>
          </w:p>
        </w:tc>
        <w:tc>
          <w:tcPr>
            <w:tcW w:type="dxa" w:w="1760"/>
            <w:tcBorders>
              <w:top w:val="single" w:color="CCCCCC" w:sz="1"/>
              <w:left w:val="single" w:color="CCCCCC" w:sz="1"/>
              <w:bottom w:val="single" w:color="CCCCCC" w:sz="1"/>
              <w:right w:val="single" w:color="CCCCCC" w:sz="1"/>
            </w:tcBorders>
            <w:shd w:fill="F0F6FC" w:val="clear"/>
            <w:tcMar>
              <w:top w:type="dxa" w:w="60"/>
              <w:left w:type="dxa" w:w="100"/>
              <w:bottom w:type="dxa" w:w="60"/>
              <w:right w:type="dxa" w:w="100"/>
            </w:tcMar>
          </w:tcPr>
          <w:p>
            <w:r>
              <w:rPr>
                <w:rFonts w:ascii="Arial" w:cs="Arial" w:eastAsia="Arial" w:hAnsi="Arial"/>
                <w:sz w:val="18"/>
                <w:szCs w:val="18"/>
              </w:rPr>
              <w:t xml:space="preserve">4,321 rows</w:t>
            </w:r>
          </w:p>
        </w:tc>
      </w:tr>
    </w:tbl>
    <w:p>
      <w:pPr>
        <w:spacing w:after="60"/>
      </w:pPr>
    </w:p>
    <w:p>
      <w:pPr>
        <w:spacing w:after="100"/>
      </w:pPr>
      <w:r>
        <w:rPr>
          <w:sz w:val="21"/>
          <w:szCs w:val="21"/>
        </w:rPr>
        <w:t xml:space="preserve">Three variable names, three unit systems, two fundamentally different file structures. The NOAA satellite file alone was 507 MB and covered the entire global ocean as a four-dimensional grid. We spent considerable time inspecting these files, understanding their metadata, and mapping out exactly what transformations each one would need.</w:t>
      </w:r>
    </w:p>
    <w:p>
      <w:pPr>
        <w:pStyle w:val="Heading1"/>
      </w:pPr>
      <w:r>
        <w:t xml:space="preserve">Pipeline Flow, Implementation Plan &amp; Expected Output</w:t>
      </w:r>
    </w:p>
    <w:p>
      <w:pPr>
        <w:spacing w:after="100"/>
      </w:pPr>
      <w:r>
        <w:rPr>
          <w:sz w:val="21"/>
          <w:szCs w:val="21"/>
        </w:rPr>
        <w:t xml:space="preserve">Our pipeline will be entirely config-driven. A single YAML file will define every variable mapping, unit conversion, and preprocessing step. The code stays generic; all dataset-specific knowledge lives in the config. The implementation follows five stages:</w:t>
      </w:r>
    </w:p>
    <w:p>
      <w:pPr>
        <w:spacing w:after="80"/>
      </w:pPr>
      <w:r>
        <w:rPr>
          <w:b/>
          <w:bCs/>
          <w:sz w:val="21"/>
          <w:szCs w:val="21"/>
        </w:rPr>
        <w:t xml:space="preserve">Ingest: </w:t>
      </w:r>
      <w:r>
        <w:rPr>
          <w:sz w:val="21"/>
          <w:szCs w:val="21"/>
        </w:rPr>
        <w:t xml:space="preserve">Read each NetCDF file without modifying it. Compute a SHA-256 hash of the raw file before reading, creating an immutable fingerprint. Register provenance metadata (institution, platform, region) in a source manifest.</w:t>
      </w:r>
    </w:p>
    <w:p>
      <w:pPr>
        <w:spacing w:after="80"/>
      </w:pPr>
      <w:r>
        <w:rPr>
          <w:b/>
          <w:bCs/>
          <w:sz w:val="21"/>
          <w:szCs w:val="21"/>
        </w:rPr>
        <w:t xml:space="preserve">Preprocess: </w:t>
      </w:r>
      <w:r>
        <w:rPr>
          <w:sz w:val="21"/>
          <w:szCs w:val="21"/>
        </w:rPr>
        <w:t xml:space="preserve">The 507 MB NOAA grid needs special handling: squeeze out the single-value altitude dimension, spatially subset to the NE Pacific (44–52°N, 132–122°W) before loading into RAM, flatten the grid to tabular rows, and drop NaN and fill-value artifacts. The other two tabular datasets skip this stage.</w:t>
      </w:r>
    </w:p>
    <w:p>
      <w:pPr>
        <w:spacing w:after="80"/>
      </w:pPr>
      <w:r>
        <w:rPr>
          <w:b/>
          <w:bCs/>
          <w:sz w:val="21"/>
          <w:szCs w:val="21"/>
        </w:rPr>
        <w:t xml:space="preserve">Transform: </w:t>
      </w:r>
      <w:r>
        <w:rPr>
          <w:sz w:val="21"/>
          <w:szCs w:val="21"/>
        </w:rPr>
        <w:t xml:space="preserve">Convert all temperatures to Kelvin using config-specified formulas: identity for ONC, (val − 32) × 5/9 + 273.15 for NOAA, and val + 273.15 for OOI. Negate OOI’s altitude to produce depth. At each step, chain a new SHA-256 hash onto the previous one so any tampering breaks the entire chain downstream.</w:t>
      </w:r>
    </w:p>
    <w:p>
      <w:pPr>
        <w:spacing w:after="80"/>
      </w:pPr>
      <w:r>
        <w:rPr>
          <w:b/>
          <w:bCs/>
          <w:sz w:val="21"/>
          <w:szCs w:val="21"/>
        </w:rPr>
        <w:t xml:space="preserve">Harmonize: </w:t>
      </w:r>
      <w:r>
        <w:rPr>
          <w:sz w:val="21"/>
          <w:szCs w:val="21"/>
        </w:rPr>
        <w:t xml:space="preserve">Map all three datasets to a canonical schema of five columns: sea_water_temperature (Kelvin), latitude, longitude, depth (meters, positive down), and time (UTC). Synthesize missing columns where needed and log every derivation as a W3C PROV-inspired provenance record.</w:t>
      </w:r>
    </w:p>
    <w:p>
      <w:pPr>
        <w:spacing w:after="80"/>
      </w:pPr>
      <w:r>
        <w:rPr>
          <w:b/>
          <w:bCs/>
          <w:sz w:val="21"/>
          <w:szCs w:val="21"/>
        </w:rPr>
        <w:t xml:space="preserve">Output: </w:t>
      </w:r>
      <w:r>
        <w:rPr>
          <w:sz w:val="21"/>
          <w:szCs w:val="21"/>
        </w:rPr>
        <w:t xml:space="preserve">Concatenate all datasets with two traceability columns (source_dataset_idx and source_obs_index) and write to a chunked, compressed Zarr store. Alongside it, output a lineage report, integrity records (full hash chains), and a pipeline run log.</w:t>
      </w:r>
    </w:p>
    <w:p>
      <w:pPr>
        <w:spacing w:after="80"/>
      </w:pPr>
      <w:r>
        <w:rPr>
          <w:sz w:val="21"/>
          <w:szCs w:val="21"/>
        </w:rPr>
        <w:t xml:space="preserve">The end result will be a single ML-ready Zarr store where any row can be traced back to its exact source file and original variable. Source integrity is verifiable through hash chains, and the entire output is re-derivable: same sources plus a different YAML config produces a different output with zero code changes.</w:t>
      </w:r>
    </w:p>
    <w:sectPr>
      <w:headerReference w:type="default" r:id="rId7"/>
      <w:footerReference w:type="default" r:id="rId8"/>
      <w:pgSz w:w="12240" w:h="15840" w:orient="portrait"/>
      <w:pgMar w:top="144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Nalluraj Babu  |  nallurajbabu1924@gmail.com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4"/>
      </w:pBdr>
      <w:tabs>
        <w:tab w:val="right" w:pos="9026"/>
      </w:tabs>
      <w:spacing w:after="60"/>
    </w:pPr>
    <w:r>
      <w:rPr>
        <w:rFonts w:ascii="Arial" w:cs="Arial" w:eastAsia="Arial" w:hAnsi="Arial"/>
        <w:b/>
        <w:bCs/>
        <w:color w:val="1565C0"/>
        <w:sz w:val="18"/>
        <w:szCs w:val="18"/>
      </w:rPr>
      <w:t xml:space="preserve">Executive Summary</w:t>
    </w:r>
    <w:r>
      <w:rPr>
        <w:rFonts w:ascii="Arial" w:cs="Arial" w:eastAsia="Arial" w:hAnsi="Arial"/>
        <w:color w:val="888888"/>
        <w:sz w:val="16"/>
        <w:szCs w:val="16"/>
      </w:rPr>
      <w:t xml:space="preserve">	Capstone Project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565C0" w:sz="4" w:space="4"/>
      </w:pBdr>
      <w:spacing w:after="100" w:before="200"/>
      <w:outlineLvl w:val="0"/>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2026-04-12T20:37:57.149Z</dcterms:created>
  <dcterms:modified xsi:type="dcterms:W3CDTF">2026-04-12T20:37:57.149Z</dcterms:modified>
</cp:coreProperties>
</file>

<file path=docProps/custom.xml><?xml version="1.0" encoding="utf-8"?>
<Properties xmlns="http://schemas.openxmlformats.org/officeDocument/2006/custom-properties" xmlns:vt="http://schemas.openxmlformats.org/officeDocument/2006/docPropsVTypes"/>
</file>