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77"/>
        <w:gridCol w:w="9014"/>
      </w:tblGrid>
      <w:tr>
        <w:tc>
          <w:tcPr>
            <w:tcW w:type="dxa" w:w="1077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561094" cy="63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brow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094" cy="6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14"/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1F2933"/>
                <w:sz w:val="32"/>
              </w:rPr>
              <w:t>VIGHNAX (BhaviṣyAdvaktā)</w:t>
            </w:r>
          </w:p>
          <w:p>
            <w:pPr>
              <w:spacing w:after="0"/>
              <w:jc w:val="left"/>
            </w:pPr>
            <w:r>
              <w:rPr>
                <w:b w:val="0"/>
                <w:color w:val="1F4E9A"/>
                <w:sz w:val="24"/>
              </w:rPr>
              <w:t>World-model forecasting of network attack progression</w:t>
            </w:r>
          </w:p>
          <w:p>
            <w:pPr>
              <w:spacing w:after="0"/>
              <w:jc w:val="left"/>
            </w:pPr>
            <w:r>
              <w:rPr>
                <w:b w:val="0"/>
                <w:color w:val="52606D"/>
                <w:sz w:val="17"/>
              </w:rPr>
              <w:t>Architecture document · SIH 2026 · PS SIH26153 (NTRO): AI-based Network Attack Forecasting from Network Traffic Data · Team VIGHNAX (Team ID 127364) · open source (MIT), fully offline</w:t>
            </w:r>
          </w:p>
        </w:tc>
      </w:tr>
    </w:tbl>
    <w:p>
      <w:pPr>
        <w:spacing w:after="0"/>
      </w:pPr>
      <w:r>
        <w:rPr>
          <w:b w:val="0"/>
          <w:sz w:val="8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24" w:space="0" w:color="FFFFFF"/>
          <w:insideV w:val="single" w:sz="24" w:space="0" w:color="FFFFFF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color="auto" w:fill="EEF3FA"/>
          </w:tcPr>
          <w:p>
            <w:pPr>
              <w:spacing w:after="0" w:before="80"/>
              <w:jc w:val="center"/>
            </w:pPr>
            <w:r>
              <w:rPr>
                <w:b/>
                <w:color w:val="1F4E9A"/>
                <w:sz w:val="30"/>
              </w:rPr>
              <w:t>54 / 201</w:t>
            </w:r>
          </w:p>
          <w:p>
            <w:pPr>
              <w:spacing w:after="80"/>
              <w:jc w:val="center"/>
            </w:pPr>
            <w:r>
              <w:rPr>
                <w:b w:val="0"/>
                <w:color w:val="52606D"/>
                <w:sz w:val="16"/>
              </w:rPr>
              <w:t>attack onsets forecast before they began (baseline: 17)</w:t>
            </w:r>
          </w:p>
        </w:tc>
        <w:tc>
          <w:tcPr>
            <w:tcW w:type="dxa" w:w="2523"/>
            <w:shd w:val="clear" w:color="auto" w:fill="EEF3FA"/>
          </w:tcPr>
          <w:p>
            <w:pPr>
              <w:spacing w:after="0" w:before="80"/>
              <w:jc w:val="center"/>
            </w:pPr>
            <w:r>
              <w:rPr>
                <w:b/>
                <w:color w:val="1F4E9A"/>
                <w:sz w:val="30"/>
              </w:rPr>
              <w:t>0.70 vs 0.67</w:t>
            </w:r>
          </w:p>
          <w:p>
            <w:pPr>
              <w:spacing w:after="80"/>
              <w:jc w:val="center"/>
            </w:pPr>
            <w:r>
              <w:rPr>
                <w:b w:val="0"/>
                <w:color w:val="52606D"/>
                <w:sz w:val="16"/>
              </w:rPr>
              <w:t>macro forecast AUROC on unseen test data, vs the baseline</w:t>
            </w:r>
          </w:p>
        </w:tc>
        <w:tc>
          <w:tcPr>
            <w:tcW w:type="dxa" w:w="2523"/>
            <w:shd w:val="clear" w:color="auto" w:fill="EEF3FA"/>
          </w:tcPr>
          <w:p>
            <w:pPr>
              <w:spacing w:after="0" w:before="80"/>
              <w:jc w:val="center"/>
            </w:pPr>
            <w:r>
              <w:rPr>
                <w:b/>
                <w:color w:val="1F4E9A"/>
                <w:sz w:val="30"/>
              </w:rPr>
              <w:t>7 of 7</w:t>
            </w:r>
          </w:p>
          <w:p>
            <w:pPr>
              <w:spacing w:after="80"/>
              <w:jc w:val="center"/>
            </w:pPr>
            <w:r>
              <w:rPr>
                <w:b w:val="0"/>
                <w:color w:val="52606D"/>
                <w:sz w:val="16"/>
              </w:rPr>
              <w:t>PS datasets in one model, tested on unseen traffic</w:t>
            </w:r>
          </w:p>
        </w:tc>
        <w:tc>
          <w:tcPr>
            <w:tcW w:type="dxa" w:w="2523"/>
            <w:shd w:val="clear" w:color="auto" w:fill="EEF3FA"/>
          </w:tcPr>
          <w:p>
            <w:pPr>
              <w:spacing w:after="0" w:before="80"/>
              <w:jc w:val="center"/>
            </w:pPr>
            <w:r>
              <w:rPr>
                <w:b/>
                <w:color w:val="1F4E9A"/>
                <w:sz w:val="30"/>
              </w:rPr>
              <w:t>~8 ms</w:t>
            </w:r>
          </w:p>
          <w:p>
            <w:pPr>
              <w:spacing w:after="80"/>
              <w:jc w:val="center"/>
            </w:pPr>
            <w:r>
              <w:rPr>
                <w:b w:val="0"/>
                <w:color w:val="52606D"/>
                <w:sz w:val="16"/>
              </w:rPr>
              <w:t>per 10 s window on a laptop CPU, fully offline</w:t>
            </w:r>
          </w:p>
        </w:tc>
      </w:tr>
    </w:tbl>
    <w:p>
      <w:pPr>
        <w:pStyle w:val="Heading1"/>
      </w:pPr>
      <w:r>
        <w:t>1. Idea</w:t>
      </w:r>
    </w:p>
    <w:p>
      <w:r>
        <w:rPr>
          <w:b w:val="0"/>
        </w:rPr>
        <w:t xml:space="preserve">Instead of classifying flows one at a time, VIGHNAX learns </w:t>
      </w:r>
      <w:r>
        <w:rPr>
          <w:b/>
        </w:rPr>
        <w:t>how the state of a network evolves</w:t>
      </w:r>
      <w:r>
        <w:rPr>
          <w:b w:val="0"/>
        </w:rPr>
        <w:t xml:space="preserve"> (the transition distribution P(S_t+1 | S_≤t)) from flow-level and packet-level telemetry. Rolling that model forward 60 s shows whether the current trajectory leads to compromise, which MITRE ATT&amp;CK stage comes next, which traffic features drive the prediction and which hosts are responsible. One model is trained on all seven datasets named in the PS.</w:t>
      </w:r>
    </w:p>
    <w:p>
      <w:pPr>
        <w:pStyle w:val="Heading1"/>
      </w:pPr>
      <w:r>
        <w:t>2. System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23347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334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Components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DEA"/>
          <w:left w:val="single" w:sz="4" w:space="0" w:color="D5DDEA"/>
          <w:bottom w:val="single" w:sz="4" w:space="0" w:color="D5DDEA"/>
          <w:right w:val="single" w:sz="4" w:space="0" w:color="D5DDEA"/>
          <w:insideH w:val="single" w:sz="4" w:space="0" w:color="D5DDEA"/>
          <w:insideV w:val="single" w:sz="4" w:space="0" w:color="D5DDEA"/>
        </w:tblBorders>
      </w:tblPr>
      <w:tblGrid>
        <w:gridCol w:w="5046"/>
        <w:gridCol w:w="5046"/>
      </w:tblGrid>
      <w:tr>
        <w:tc>
          <w:tcPr>
            <w:tcW w:type="dxa" w:w="1928"/>
            <w:vAlign w:val="center"/>
            <w:shd w:val="clear" w:color="auto" w:fill="EEF3FA"/>
          </w:tcPr>
          <w:p>
            <w:pPr>
              <w:spacing w:after="0"/>
              <w:jc w:val="left"/>
            </w:pPr>
            <w:r>
              <w:rPr>
                <w:b/>
                <w:color w:val="1F4E9A"/>
                <w:sz w:val="18"/>
              </w:rPr>
              <w:t>Ingestion</w:t>
            </w:r>
          </w:p>
        </w:tc>
        <w:tc>
          <w:tcPr>
            <w:tcW w:type="dxa" w:w="816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Reads every PS dataset's native format, detected by content: CTU-13 Argus binetflow, CICFlowMeter CSV (CIC-IDS2017/2018), UNSW-NB15 records, LANL flows. Packet captures (pcap / pcapng, .gz / .bz2) are streamed at ~125k packets/s with headers decoded directly; a Scapy reference parser is included.</w:t>
            </w:r>
          </w:p>
        </w:tc>
      </w:tr>
      <w:tr>
        <w:tc>
          <w:tcPr>
            <w:tcW w:type="dxa" w:w="1928"/>
            <w:vAlign w:val="center"/>
            <w:shd w:val="clear" w:color="auto" w:fill="EEF3FA"/>
          </w:tcPr>
          <w:p>
            <w:pPr>
              <w:spacing w:after="0"/>
              <w:jc w:val="left"/>
            </w:pPr>
            <w:r>
              <w:rPr>
                <w:b/>
                <w:color w:val="1F4E9A"/>
                <w:sz w:val="18"/>
              </w:rPr>
              <w:t>Network state S_t</w:t>
            </w:r>
          </w:p>
        </w:tc>
        <w:tc>
          <w:tcPr>
            <w:tcW w:type="dxa" w:w="816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Every 10 s window becomes a 78-dim vector: 47 flow-level features (5-tuple statistics, flags, bytes, packets, duration, IAT, fwd/bwd ratios, per-host maxima so one compromised host is not diluted), 30 packet-level features (TTL mean and per-session variance, TCP window, fragment / DF flags, payload-size distribution, SYN-only / RST / ICMP shares, retransmissions, port-scan signatures) and a packet-present mask.</w:t>
            </w:r>
          </w:p>
        </w:tc>
      </w:tr>
      <w:tr>
        <w:tc>
          <w:tcPr>
            <w:tcW w:type="dxa" w:w="1928"/>
            <w:vAlign w:val="center"/>
            <w:shd w:val="clear" w:color="auto" w:fill="EEF3FA"/>
          </w:tcPr>
          <w:p>
            <w:pPr>
              <w:spacing w:after="0"/>
              <w:jc w:val="left"/>
            </w:pPr>
            <w:r>
              <w:rPr>
                <w:b/>
                <w:color w:val="1F4E9A"/>
                <w:sz w:val="18"/>
              </w:rPr>
              <w:t>World model</w:t>
            </w:r>
          </w:p>
        </w:tc>
        <w:tc>
          <w:tcPr>
            <w:tcW w:type="dxa" w:w="816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Encoder q(z_t | S_t) to a Gaussian latent; GRU memory h_t; learned transition prior p(z_t+1 | h_t+1); decoder p(S | z). Heads on (h, z) give P(infiltration) and a 7-way ATT&amp;CK stage distribution. Loss = reconstruction + KL(posterior ‖ prior) + attack and stage losses on observed states and on imagined K-step rollouts against the true future labels. Dataset-balanced sampling, modality dropout (CSV-only input) and volume augmentation.</w:t>
            </w:r>
          </w:p>
        </w:tc>
      </w:tr>
      <w:tr>
        <w:tc>
          <w:tcPr>
            <w:tcW w:type="dxa" w:w="1928"/>
            <w:vAlign w:val="center"/>
            <w:shd w:val="clear" w:color="auto" w:fill="EEF3FA"/>
          </w:tcPr>
          <w:p>
            <w:pPr>
              <w:spacing w:after="0"/>
              <w:jc w:val="left"/>
            </w:pPr>
            <w:r>
              <w:rPr>
                <w:b/>
                <w:color w:val="1F4E9A"/>
                <w:sz w:val="18"/>
              </w:rPr>
              <w:t>Forecast and explanation</w:t>
            </w:r>
          </w:p>
        </w:tc>
        <w:tc>
          <w:tcPr>
            <w:tcW w:type="dxa" w:w="816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32 Monte-Carlo latent trajectories rolled K = 6 windows (60 s) ahead: P(infiltration) per window with a 10–90 % band and the predicted stage mix with technique IDs. Integrated Gradients attributes each forecast to flow and packet features against a benign reference state; removing each host in turn and re-forecasting ranks the responsible hosts and flows.</w:t>
            </w:r>
          </w:p>
        </w:tc>
      </w:tr>
      <w:tr>
        <w:tc>
          <w:tcPr>
            <w:tcW w:type="dxa" w:w="1928"/>
            <w:vAlign w:val="center"/>
            <w:shd w:val="clear" w:color="auto" w:fill="EEF3FA"/>
          </w:tcPr>
          <w:p>
            <w:pPr>
              <w:spacing w:after="0"/>
              <w:jc w:val="left"/>
            </w:pPr>
            <w:r>
              <w:rPr>
                <w:b/>
                <w:color w:val="1F4E9A"/>
                <w:sz w:val="18"/>
              </w:rPr>
              <w:t>Interface</w:t>
            </w:r>
          </w:p>
        </w:tc>
        <w:tc>
          <w:tcPr>
            <w:tcW w:type="dxa" w:w="816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Offline Flask dashboard (bundled Chart.js and fonts): one drop zone for flow files, PCAPs or a .zip; timeline, forecast fan, stage mix, attributions and flagged hosts update live; per-network alert thresholds (site profiles); one-click incident report; SHA-256-verified model weights.</w:t>
            </w:r>
          </w:p>
        </w:tc>
      </w:tr>
    </w:tbl>
    <w:p>
      <w:pPr>
        <w:pStyle w:val="Heading1"/>
      </w:pPr>
      <w:r>
        <w:t>4. Data and evaluation protocol</w:t>
      </w:r>
    </w:p>
    <w:p>
      <w:pPr>
        <w:pStyle w:val="ListBullet"/>
        <w:spacing w:after="30"/>
        <w:ind w:left="283"/>
      </w:pPr>
      <w:r>
        <w:rPr>
          <w:b/>
        </w:rPr>
        <w:t xml:space="preserve">All seven PS datasets: </w:t>
      </w:r>
      <w:r>
        <w:rPr>
          <w:b w:val="0"/>
        </w:rPr>
        <w:t>CTU-13 (flows + full packet captures), CIC-IDS2017 and CSE-CIC-IDS2018 (CICFlowMeter flows), UNSW-NB15 (flow records), LANL cyber1 (router flows + red-team events), DARPA 1999 (tcpdump + attack truth list) and CICIoT2023 (per-activity packet captures).</w:t>
      </w:r>
    </w:p>
    <w:p>
      <w:pPr>
        <w:pStyle w:val="ListBullet"/>
        <w:spacing w:after="30"/>
        <w:ind w:left="283"/>
      </w:pPr>
      <w:r>
        <w:rPr>
          <w:b/>
        </w:rPr>
        <w:t xml:space="preserve">Test data unseen in training: </w:t>
      </w:r>
      <w:r>
        <w:rPr>
          <w:b w:val="0"/>
        </w:rPr>
        <w:t>other botnet families (CTU-13), other days (CIC, UNSW, DARPA), another 12 h slice (LANL), other attack types (CICIoT2023). Validation = every 5th 5-minute block of the training sources.</w:t>
      </w:r>
    </w:p>
    <w:p>
      <w:pPr>
        <w:pStyle w:val="ListBullet"/>
        <w:spacing w:after="30"/>
        <w:ind w:left="283"/>
      </w:pPr>
      <w:r>
        <w:rPr>
          <w:b/>
        </w:rPr>
        <w:t xml:space="preserve">Fair baseline: </w:t>
      </w:r>
      <w:r>
        <w:rPr>
          <w:b w:val="0"/>
        </w:rPr>
        <w:t>logistic regression on the same state features and targets. Operating thresholds are chosen per dataset on validation only (most detection with at most 5 % false alarms), with the same rule for both models. Labels map to ATT&amp;CK stages by behaviour; all seven stages occur.</w:t>
      </w:r>
    </w:p>
    <w:p>
      <w:pPr>
        <w:pStyle w:val="Heading1"/>
      </w:pPr>
      <w:r>
        <w:t>5. Results on unseen test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DEA"/>
          <w:left w:val="single" w:sz="4" w:space="0" w:color="D5DDEA"/>
          <w:bottom w:val="single" w:sz="4" w:space="0" w:color="D5DDEA"/>
          <w:right w:val="single" w:sz="4" w:space="0" w:color="D5DDEA"/>
          <w:insideH w:val="single" w:sz="4" w:space="0" w:color="D5DDEA"/>
          <w:insideV w:val="single" w:sz="4" w:space="0" w:color="D5DDEA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3515"/>
            <w:shd w:val="clear" w:color="auto" w:fill="1F4E9A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7"/>
              </w:rPr>
              <w:t>Dataset (unseen test data)</w:t>
            </w:r>
          </w:p>
        </w:tc>
        <w:tc>
          <w:tcPr>
            <w:tcW w:type="dxa" w:w="2154"/>
            <w:shd w:val="clear" w:color="auto" w:fill="1F4E9A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Forecast</w:t>
            </w:r>
          </w:p>
        </w:tc>
        <w:tc>
          <w:tcPr>
            <w:tcW w:type="dxa" w:w="2154"/>
            <w:shd w:val="clear" w:color="auto" w:fill="1F4E9A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Early warning</w:t>
            </w:r>
          </w:p>
        </w:tc>
        <w:tc>
          <w:tcPr>
            <w:tcW w:type="dxa" w:w="2154"/>
            <w:shd w:val="clear" w:color="auto" w:fill="1F4E9A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Detection</w:t>
            </w:r>
          </w:p>
        </w:tc>
      </w:tr>
      <w:tr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7"/>
              </w:rPr>
              <w:t>CTU-13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 w:val="0"/>
                <w:sz w:val="17"/>
              </w:rPr>
              <w:t>0.83 / 0.60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 w:val="0"/>
                <w:sz w:val="17"/>
              </w:rPr>
              <w:t>0.82 / 0.48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 w:val="0"/>
                <w:sz w:val="17"/>
              </w:rPr>
              <w:t>0.89 / 0.74</w:t>
            </w:r>
          </w:p>
        </w:tc>
      </w:tr>
      <w:tr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7"/>
              </w:rPr>
              <w:t>CIC-IDS2017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 w:val="0"/>
                <w:sz w:val="17"/>
              </w:rPr>
              <w:t>0.56 / 0.56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 w:val="0"/>
                <w:sz w:val="17"/>
              </w:rPr>
              <w:t>0.47 / 0.47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 w:val="0"/>
                <w:sz w:val="17"/>
              </w:rPr>
              <w:t>0.65 / 0.65</w:t>
            </w:r>
          </w:p>
        </w:tc>
      </w:tr>
      <w:tr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7"/>
              </w:rPr>
              <w:t>CSE-CIC-IDS2018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 w:val="0"/>
                <w:sz w:val="17"/>
              </w:rPr>
              <w:t>0.83 / 0.60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 w:val="0"/>
                <w:sz w:val="17"/>
              </w:rPr>
              <w:t>0.57 / 0.55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 w:val="0"/>
                <w:sz w:val="17"/>
              </w:rPr>
              <w:t>0.83 / 0.62</w:t>
            </w:r>
          </w:p>
        </w:tc>
      </w:tr>
      <w:tr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7"/>
              </w:rPr>
              <w:t>UNSW-NB15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 w:val="0"/>
                <w:sz w:val="17"/>
              </w:rPr>
              <w:t>0.95 / 0.99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 w:val="0"/>
                <w:sz w:val="17"/>
              </w:rPr>
              <w:t>0.63 / 0.71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 w:val="0"/>
                <w:sz w:val="17"/>
              </w:rPr>
              <w:t>1.00 / 0.95</w:t>
            </w:r>
          </w:p>
        </w:tc>
      </w:tr>
      <w:tr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7"/>
              </w:rPr>
              <w:t>LANL cyber1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 w:val="0"/>
                <w:sz w:val="17"/>
              </w:rPr>
              <w:t>0.37 / 0.56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 w:val="0"/>
                <w:sz w:val="17"/>
              </w:rPr>
              <w:t>0.34 / 0.57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 w:val="0"/>
                <w:sz w:val="17"/>
              </w:rPr>
              <w:t>0.40 / 0.55</w:t>
            </w:r>
          </w:p>
        </w:tc>
      </w:tr>
      <w:tr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7"/>
              </w:rPr>
              <w:t>DARPA 1999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 w:val="0"/>
                <w:sz w:val="17"/>
              </w:rPr>
              <w:t>0.63 / 0.69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 w:val="0"/>
                <w:sz w:val="17"/>
              </w:rPr>
              <w:t>0.60 / 0.61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 w:val="0"/>
                <w:sz w:val="17"/>
              </w:rPr>
              <w:t>0.69 / 0.81</w:t>
            </w:r>
          </w:p>
        </w:tc>
      </w:tr>
      <w:tr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7"/>
              </w:rPr>
              <w:t>CICIoT2023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 w:val="0"/>
                <w:sz w:val="17"/>
              </w:rPr>
              <w:t>n/a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 w:val="0"/>
                <w:sz w:val="17"/>
              </w:rPr>
              <w:t>n/a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 w:val="0"/>
                <w:sz w:val="17"/>
              </w:rPr>
              <w:t>0.99 / 0.76</w:t>
            </w:r>
          </w:p>
        </w:tc>
      </w:tr>
      <w:tr>
        <w:tc>
          <w:tcPr>
            <w:tcW w:type="dxa" w:w="3515"/>
            <w:shd w:val="clear" w:color="auto" w:fill="EEF3FA"/>
          </w:tcPr>
          <w:p>
            <w:pPr>
              <w:spacing w:after="0"/>
              <w:jc w:val="left"/>
            </w:pPr>
            <w:r>
              <w:rPr>
                <w:b/>
                <w:sz w:val="17"/>
              </w:rPr>
              <w:t>Macro average (six temporal datasets)</w:t>
            </w:r>
          </w:p>
        </w:tc>
        <w:tc>
          <w:tcPr>
            <w:tcW w:type="dxa" w:w="2154"/>
            <w:shd w:val="clear" w:color="auto" w:fill="EEF3FA"/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0.70 / 0.67</w:t>
            </w:r>
          </w:p>
        </w:tc>
        <w:tc>
          <w:tcPr>
            <w:tcW w:type="dxa" w:w="2154"/>
            <w:shd w:val="clear" w:color="auto" w:fill="EEF3FA"/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0.57 / 0.57</w:t>
            </w:r>
          </w:p>
        </w:tc>
        <w:tc>
          <w:tcPr>
            <w:tcW w:type="dxa" w:w="2154"/>
            <w:shd w:val="clear" w:color="auto" w:fill="EEF3FA"/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0.74 / 0.72</w:t>
            </w:r>
          </w:p>
        </w:tc>
      </w:tr>
    </w:tbl>
    <w:p>
      <w:pPr>
        <w:spacing w:after="60" w:before="40"/>
      </w:pPr>
      <w:r>
        <w:rPr>
          <w:b w:val="0"/>
          <w:color w:val="52606D"/>
          <w:sz w:val="16"/>
        </w:rPr>
        <w:t>AUROC, world model / logistic-regression baseline. Early warning = forecasting from windows that are still benign. CICIoT2023 episodes are composed (benign capture, then attack capture), so only detection is scored.</w:t>
      </w:r>
    </w:p>
    <w:p>
      <w:pPr>
        <w:pStyle w:val="ListBullet"/>
        <w:spacing w:after="30"/>
        <w:ind w:left="283"/>
      </w:pPr>
      <w:r>
        <w:rPr>
          <w:b/>
        </w:rPr>
        <w:t xml:space="preserve">Early warning: </w:t>
      </w:r>
      <w:r>
        <w:rPr>
          <w:b w:val="0"/>
        </w:rPr>
        <w:t>54 of 201 attack onsets were forecast before they began, against 17 for the baseline; when the model warns, it does so 51–60 s ahead on average.</w:t>
      </w:r>
    </w:p>
    <w:p>
      <w:pPr>
        <w:pStyle w:val="ListBullet"/>
        <w:spacing w:after="30"/>
        <w:ind w:left="283"/>
      </w:pPr>
      <w:r>
        <w:rPr>
          <w:b/>
        </w:rPr>
        <w:t xml:space="preserve">Forecasting: </w:t>
      </w:r>
      <w:r>
        <w:rPr>
          <w:b w:val="0"/>
        </w:rPr>
        <w:t>ahead on CTU-13 and CSE-CIC-IDS2018, tied on CIC-IDS2017; the baseline is ahead on UNSW-NB15, LANL cyber1, DARPA 1999. On validation the world model leads on every dataset, so generalising to unseen days is the main open problem.</w:t>
      </w:r>
    </w:p>
    <w:p>
      <w:pPr>
        <w:pStyle w:val="ListBullet"/>
        <w:spacing w:after="30"/>
        <w:ind w:left="283"/>
      </w:pPr>
      <w:r>
        <w:rPr>
          <w:b/>
        </w:rPr>
        <w:t xml:space="preserve">Detection: </w:t>
      </w:r>
      <w:r>
        <w:rPr>
          <w:b w:val="0"/>
        </w:rPr>
        <w:t>ahead on 4 of 7 datasets; the baseline is better on LANL cyber1 and DARPA 1999.</w:t>
      </w:r>
    </w:p>
    <w:p>
      <w:pPr>
        <w:pStyle w:val="ListBullet"/>
        <w:spacing w:after="30"/>
        <w:ind w:left="283"/>
      </w:pPr>
      <w:r>
        <w:rPr>
          <w:b/>
        </w:rPr>
        <w:t xml:space="preserve">Cost: </w:t>
      </w:r>
      <w:r>
        <w:rPr>
          <w:b w:val="0"/>
        </w:rPr>
        <w:t>~8 ms per 10 s window streamed on a laptop CPU (32 rollouts), 0.04 ms batched on a GPU; ~125k packets/s ingestion.</w:t>
      </w:r>
    </w:p>
    <w:p>
      <w:pPr>
        <w:pStyle w:val="Heading1"/>
      </w:pPr>
      <w:r>
        <w:t>6. Working prototype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48000" cy="3259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ligh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25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2606D"/>
          <w:sz w:val="16"/>
        </w:rPr>
        <w:t>Offline dashboard on an unseen CIC-IDS2017 day: risk stays low for six minutes, then goes critical as the DDoS starts; the baseline (dashed) raises false spikes.</w:t>
      </w:r>
    </w:p>
    <w:p>
      <w:pPr>
        <w:pStyle w:val="Heading1"/>
      </w:pPr>
      <w:r>
        <w:t>7. Deployment, limits and next steps</w:t>
      </w:r>
    </w:p>
    <w:p>
      <w:pPr>
        <w:pStyle w:val="ListBullet"/>
        <w:spacing w:after="30"/>
        <w:ind w:left="283"/>
      </w:pPr>
      <w:r>
        <w:rPr>
          <w:b/>
        </w:rPr>
        <w:t xml:space="preserve">Deployment: </w:t>
      </w:r>
      <w:r>
        <w:rPr>
          <w:b w:val="0"/>
        </w:rPr>
        <w:t>air-gapped and CPU-only; streams captures in bounded memory. Reproducible from one seeded configuration: fetch_datasets.sh → prepare_data.py / prepare_all.py → train.py → evaluate.py.</w:t>
      </w:r>
    </w:p>
    <w:p>
      <w:pPr>
        <w:pStyle w:val="ListBullet"/>
        <w:spacing w:after="30"/>
        <w:ind w:left="283"/>
      </w:pPr>
      <w:r>
        <w:rPr>
          <w:b/>
        </w:rPr>
        <w:t xml:space="preserve">Limits: </w:t>
      </w:r>
      <w:r>
        <w:rPr>
          <w:b w:val="0"/>
        </w:rPr>
        <w:t>weak on LANL-type authentication attacks and behind the baseline on DARPA 1999; alert thresholds need per-site calibration; PCAP-only input relies on flows rebuilt from packets.</w:t>
      </w:r>
    </w:p>
    <w:p>
      <w:pPr>
        <w:pStyle w:val="ListBullet"/>
        <w:spacing w:after="30"/>
        <w:ind w:left="283"/>
      </w:pPr>
      <w:r>
        <w:rPr>
          <w:b/>
        </w:rPr>
        <w:t xml:space="preserve">Next: </w:t>
      </w:r>
      <w:r>
        <w:rPr>
          <w:b w:val="0"/>
        </w:rPr>
        <w:t>host-graph (GNN) state, online threshold calibration, a streaming NetFlow / IPFIX collector and SOC integration (syslog, STIX).</w:t>
      </w:r>
    </w:p>
    <w:p>
      <w:pPr>
        <w:spacing w:after="0" w:before="80"/>
      </w:pPr>
      <w:r>
        <w:rPr>
          <w:b/>
        </w:rPr>
        <w:t xml:space="preserve">Code, weights and benchmark: </w:t>
      </w:r>
      <w:hyperlink r:id="rId13">
        <w:r>
          <w:rPr>
            <w:color w:val="1F4E9A"/>
            <w:u w:val="single"/>
            <w:sz w:val="19"/>
          </w:rPr>
          <w:t xml:space="preserve">https://github.com/NAMAN-THAKUR-1944/SIH2026-SIH26153-VIGHNAX</w:t>
        </w:r>
      </w:hyperlink>
      <w:r>
        <w:rPr>
          <w:b w:val="0"/>
        </w:rPr>
        <w:t xml:space="preserve">   ·   </w:t>
      </w:r>
      <w:r>
        <w:rPr>
          <w:b/>
        </w:rPr>
        <w:t xml:space="preserve">Demo video: </w:t>
      </w:r>
      <w:hyperlink r:id="rId14">
        <w:r>
          <w:rPr>
            <w:color w:val="1F4E9A"/>
            <w:u w:val="single"/>
            <w:sz w:val="19"/>
          </w:rPr>
          <w:t xml:space="preserve">https://youtu.be/pPTe-d_TByU</w:t>
        </w:r>
      </w:hyperlink>
    </w:p>
    <w:sectPr w:rsidR="00FC693F" w:rsidRPr="0006063C" w:rsidSect="00034616">
      <w:footerReference w:type="default" r:id="rId9"/>
      <w:pgSz w:w="11906" w:h="16838"/>
      <w:pgMar w:top="624" w:right="907" w:bottom="737" w:left="907" w:header="72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06D"/>
        <w:sz w:val="16"/>
      </w:rPr>
      <w:t xml:space="preserve">Team VIGHNAX (Team ID 127364) · SIH 2026 · PS SIH26153 · Architecture document · page </w:t>
    </w:r>
    <w:r>
      <w:rPr>
        <w:color w:val="52606D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52606D"/>
        <w:sz w:val="16"/>
      </w:rPr>
      <w:t xml:space="preserve"> of </w:t>
    </w:r>
    <w:r>
      <w:rPr>
        <w:color w:val="52606D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52" w:lineRule="auto"/>
    </w:pPr>
    <w:rPr>
      <w:rFonts w:ascii="Calibri" w:hAnsi="Calibri"/>
      <w:color w:val="1F29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F4E9A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hyperlink" Target="https://github.com/NAMAN-THAKUR-1944/SIH2026-SIH26153-VIGHNAX" TargetMode="External"/><Relationship Id="rId14" Type="http://schemas.openxmlformats.org/officeDocument/2006/relationships/hyperlink" Target="https://youtu.be/pPTe-d_TBy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VIGHNAX: architecture document (SIH 2026, SIH26153)</dc:title>
  <dc:subject>SIH 2026, SIH26153: AI based Network Attack Forecasting from Network Traffic Data</dc:subject>
  <dc:creator>Team VIGHNAX (127364)</dc:creator>
  <cp:keywords/>
  <dc:description/>
  <cp:lastModifiedBy>Team VIGHNAX (127364)</cp:lastModifiedBy>
  <cp:revision>1</cp:revision>
  <dcterms:created xsi:type="dcterms:W3CDTF">2026-09-30T04:08:25Z</dcterms:created>
  <dcterms:modified xsi:type="dcterms:W3CDTF">2026-09-30T04:08:25Z</dcterms:modified>
  <cp:category/>
</cp:coreProperties>
</file>