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F23" w:rsidRDefault="00574F23">
      <w:pPr>
        <w:spacing w:line="0" w:lineRule="atLeast"/>
        <w:jc w:val="center"/>
        <w:rPr>
          <w:rFonts w:hint="eastAsia"/>
          <w:sz w:val="16"/>
        </w:rPr>
      </w:pPr>
      <w:r>
        <w:rPr>
          <w:noProof/>
          <w:sz w:val="20"/>
        </w:rPr>
        <w:pict>
          <v:group id="_x0000_s2129" style="position:absolute;left:0;text-align:left;margin-left:-9pt;margin-top:0;width:562.5pt;height:800.8pt;z-index:251658240"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574F23" w:rsidRDefault="00574F23">
      <w:pPr>
        <w:spacing w:line="0" w:lineRule="atLeast"/>
        <w:jc w:val="center"/>
        <w:rPr>
          <w:rFonts w:hint="eastAsia"/>
          <w:sz w:val="16"/>
        </w:rPr>
      </w:pPr>
    </w:p>
    <w:p w:rsidR="00574F23" w:rsidRDefault="00574F23">
      <w:pPr>
        <w:spacing w:line="0" w:lineRule="atLeast"/>
        <w:rPr>
          <w:rFonts w:hint="eastAsia"/>
          <w:sz w:val="16"/>
        </w:rPr>
      </w:pPr>
      <w:r>
        <w:rPr>
          <w:noProof/>
          <w:sz w:val="20"/>
        </w:rPr>
        <w:pict>
          <v:rect id="_x0000_s2057" style="position:absolute;left:0;text-align:left;margin-left:9pt;margin-top:0;width:117pt;height:30.25pt;z-index:251657216" strokeweight="2.25pt">
            <v:textbox style="mso-next-textbox:#_x0000_s2057" inset=",.07mm">
              <w:txbxContent>
                <w:p w:rsidR="00574F23" w:rsidRDefault="00574F23">
                  <w:pPr>
                    <w:pStyle w:val="a4"/>
                    <w:rPr>
                      <w:rFonts w:hint="eastAsia"/>
                      <w:spacing w:val="-10"/>
                    </w:rPr>
                  </w:pPr>
                  <w:r>
                    <w:rPr>
                      <w:rFonts w:hint="eastAsia"/>
                      <w:spacing w:val="-10"/>
                    </w:rPr>
                    <w:t>社内用ＳＤＳ</w:t>
                  </w:r>
                </w:p>
              </w:txbxContent>
            </v:textbox>
          </v:rect>
        </w:pict>
      </w:r>
    </w:p>
    <w:p w:rsidR="00574F23" w:rsidRDefault="00574F23">
      <w:pPr>
        <w:spacing w:line="0" w:lineRule="atLeast"/>
        <w:rPr>
          <w:rFonts w:hint="eastAsia"/>
        </w:rPr>
      </w:pPr>
    </w:p>
    <w:p w:rsidR="00574F23" w:rsidRDefault="00574F23">
      <w:pPr>
        <w:spacing w:line="0" w:lineRule="atLeast"/>
        <w:jc w:val="center"/>
        <w:rPr>
          <w:rFonts w:hint="eastAsia"/>
        </w:rPr>
      </w:pPr>
      <w:r>
        <w:rPr>
          <w:rFonts w:hint="eastAsia"/>
          <w:sz w:val="16"/>
        </w:rPr>
        <w:t>製品名：ﾓｰﾋﾞﾙ　ﾊﾞｸﾄﾗｵｲﾙ№</w:t>
      </w:r>
      <w:r w:rsidR="00AB3ED3">
        <w:rPr>
          <w:sz w:val="16"/>
        </w:rPr>
        <w:t>1</w:t>
      </w:r>
    </w:p>
    <w:p w:rsidR="00574F23" w:rsidRDefault="00574F23">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6192" fillcolor="black" stroked="f">
            <v:shadow on="t" color="silver" offset="3pt"/>
            <v:textpath style="font-family:&quot;ＨＧｺﾞｼｯｸE-PRO&quot;;font-weight:bold;v-text-reverse:t;v-text-kern:t" trim="t" fitpath="t" string="【ﾊﾞｸﾄﾗｵｲﾙ№1】"/>
          </v:shape>
        </w:pict>
      </w:r>
    </w:p>
    <w:p w:rsidR="00574F23" w:rsidRDefault="00574F23">
      <w:pPr>
        <w:spacing w:line="0" w:lineRule="atLeast"/>
        <w:rPr>
          <w:rFonts w:hint="eastAsia"/>
        </w:rPr>
      </w:pPr>
    </w:p>
    <w:p w:rsidR="00574F23" w:rsidRDefault="00574F23">
      <w:pPr>
        <w:spacing w:line="0" w:lineRule="atLeast"/>
        <w:rPr>
          <w:rFonts w:hint="eastAsia"/>
        </w:rPr>
      </w:pPr>
    </w:p>
    <w:p w:rsidR="00574F23" w:rsidRDefault="00574F23">
      <w:pPr>
        <w:spacing w:line="0" w:lineRule="atLeast"/>
        <w:rPr>
          <w:rFonts w:hint="eastAsia"/>
        </w:rPr>
      </w:pPr>
    </w:p>
    <w:p w:rsidR="00574F23" w:rsidRDefault="00574F23">
      <w:pPr>
        <w:spacing w:line="0" w:lineRule="atLeast"/>
        <w:rPr>
          <w:rFonts w:hint="eastAsia"/>
        </w:rPr>
      </w:pPr>
    </w:p>
    <w:p w:rsidR="00574F23" w:rsidRDefault="00574F23">
      <w:pPr>
        <w:spacing w:line="0" w:lineRule="atLeast"/>
        <w:rPr>
          <w:rFonts w:hint="eastAsia"/>
          <w:b/>
          <w:bCs/>
          <w:sz w:val="24"/>
        </w:rPr>
      </w:pPr>
      <w:r>
        <w:rPr>
          <w:rFonts w:hint="eastAsia"/>
          <w:b/>
          <w:bCs/>
          <w:sz w:val="24"/>
        </w:rPr>
        <w:t>【適用法規等】</w:t>
      </w:r>
    </w:p>
    <w:p w:rsidR="00574F23" w:rsidRDefault="00574F23">
      <w:pPr>
        <w:spacing w:line="0" w:lineRule="atLeast"/>
        <w:rPr>
          <w:rFonts w:hint="eastAsia"/>
          <w:b/>
          <w:bCs/>
          <w:sz w:val="24"/>
        </w:rPr>
      </w:pPr>
      <w:r>
        <w:rPr>
          <w:rFonts w:hint="eastAsia"/>
          <w:b/>
          <w:bCs/>
          <w:sz w:val="24"/>
        </w:rPr>
        <w:t xml:space="preserve">　消防法　　　　：危険物第４類第４石油類　危険等級Ⅲ　</w:t>
      </w:r>
    </w:p>
    <w:p w:rsidR="00574F23" w:rsidRDefault="00574F23">
      <w:pPr>
        <w:spacing w:line="0" w:lineRule="atLeast"/>
        <w:ind w:firstLineChars="100" w:firstLine="241"/>
        <w:rPr>
          <w:rFonts w:hint="eastAsia"/>
          <w:b/>
          <w:bCs/>
          <w:sz w:val="24"/>
        </w:rPr>
      </w:pPr>
      <w:r>
        <w:rPr>
          <w:rFonts w:hint="eastAsia"/>
          <w:b/>
          <w:bCs/>
          <w:sz w:val="24"/>
        </w:rPr>
        <w:t>労働安全衛生法：通対象物質　鉱油</w:t>
      </w:r>
    </w:p>
    <w:p w:rsidR="00574F23" w:rsidRDefault="00574F23">
      <w:pPr>
        <w:spacing w:line="0" w:lineRule="atLeast"/>
        <w:ind w:firstLineChars="100" w:firstLine="241"/>
        <w:rPr>
          <w:rFonts w:hint="eastAsia"/>
          <w:b/>
          <w:bCs/>
          <w:sz w:val="24"/>
        </w:rPr>
      </w:pPr>
      <w:r>
        <w:rPr>
          <w:rFonts w:hint="eastAsia"/>
          <w:b/>
          <w:bCs/>
          <w:sz w:val="24"/>
        </w:rPr>
        <w:t>水質汚濁防止法：油分排出規制　ノルマルヘキサン抽出分として検出</w:t>
      </w:r>
    </w:p>
    <w:p w:rsidR="00574F23" w:rsidRDefault="00574F23">
      <w:pPr>
        <w:spacing w:line="0" w:lineRule="atLeast"/>
        <w:ind w:firstLineChars="100" w:firstLine="241"/>
        <w:rPr>
          <w:rFonts w:hint="eastAsia"/>
          <w:b/>
          <w:bCs/>
          <w:sz w:val="24"/>
        </w:rPr>
      </w:pPr>
      <w:r>
        <w:rPr>
          <w:rFonts w:hint="eastAsia"/>
          <w:b/>
          <w:bCs/>
          <w:sz w:val="24"/>
        </w:rPr>
        <w:t>下水道法　　　：鉱油類排出規制</w:t>
      </w:r>
    </w:p>
    <w:p w:rsidR="00574F23" w:rsidRDefault="00574F23">
      <w:pPr>
        <w:spacing w:line="0" w:lineRule="atLeast"/>
        <w:ind w:firstLineChars="100" w:firstLine="241"/>
        <w:rPr>
          <w:rFonts w:hint="eastAsia"/>
          <w:b/>
          <w:bCs/>
          <w:sz w:val="24"/>
        </w:rPr>
      </w:pPr>
      <w:r>
        <w:rPr>
          <w:rFonts w:hint="eastAsia"/>
          <w:b/>
          <w:bCs/>
          <w:sz w:val="24"/>
        </w:rPr>
        <w:t>廃棄物の処理及び清掃に関する法律：産業廃棄物規制（拡散、流出の禁止）</w:t>
      </w:r>
    </w:p>
    <w:p w:rsidR="00574F23" w:rsidRDefault="00574F23">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tabs>
                <w:tab w:val="left" w:pos="1695"/>
              </w:tabs>
              <w:spacing w:line="0" w:lineRule="atLeast"/>
              <w:rPr>
                <w:rFonts w:hint="eastAsia"/>
                <w:b/>
                <w:bCs/>
                <w:sz w:val="24"/>
              </w:rPr>
            </w:pPr>
            <w:r>
              <w:rPr>
                <w:rFonts w:hint="eastAsia"/>
                <w:b/>
                <w:bCs/>
                <w:sz w:val="24"/>
              </w:rPr>
              <w:t xml:space="preserve">(1) </w:t>
            </w:r>
            <w:r>
              <w:rPr>
                <w:rFonts w:hint="eastAsia"/>
                <w:b/>
                <w:bCs/>
                <w:sz w:val="24"/>
              </w:rPr>
              <w:t>飲むと下痢、嘔吐する可能性がある。</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ind w:left="429" w:hangingChars="178" w:hanging="429"/>
              <w:rPr>
                <w:rFonts w:hint="eastAsia"/>
                <w:b/>
                <w:bCs/>
                <w:sz w:val="24"/>
              </w:rPr>
            </w:pPr>
            <w:r>
              <w:rPr>
                <w:rFonts w:hint="eastAsia"/>
                <w:b/>
                <w:bCs/>
                <w:sz w:val="24"/>
              </w:rPr>
              <w:t xml:space="preserve">(2) </w:t>
            </w:r>
            <w:r>
              <w:rPr>
                <w:rFonts w:hint="eastAsia"/>
                <w:b/>
                <w:bCs/>
                <w:sz w:val="24"/>
              </w:rPr>
              <w:t>目に入ると炎症を起こす可能性がある。</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rPr>
                <w:rFonts w:hint="eastAsia"/>
                <w:b/>
                <w:bCs/>
                <w:spacing w:val="-6"/>
                <w:sz w:val="24"/>
              </w:rPr>
            </w:pPr>
            <w:r>
              <w:rPr>
                <w:rFonts w:hint="eastAsia"/>
                <w:b/>
                <w:bCs/>
                <w:spacing w:val="-6"/>
                <w:sz w:val="24"/>
              </w:rPr>
              <w:t xml:space="preserve">(3) </w:t>
            </w:r>
            <w:r>
              <w:rPr>
                <w:rFonts w:hint="eastAsia"/>
                <w:b/>
                <w:bCs/>
                <w:spacing w:val="-6"/>
                <w:sz w:val="24"/>
              </w:rPr>
              <w:t>皮膚に触れると炎症を起こす可能性がある。</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(4) </w:t>
            </w:r>
            <w:r>
              <w:rPr>
                <w:rFonts w:hint="eastAsia"/>
                <w:b/>
                <w:bCs/>
                <w:sz w:val="24"/>
              </w:rPr>
              <w:t>ミストを吸引すると気分が悪くなることがある。</w:t>
            </w:r>
          </w:p>
        </w:tc>
      </w:tr>
    </w:tbl>
    <w:p w:rsidR="00574F23" w:rsidRDefault="00574F23">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pacing w:val="-4"/>
                <w:sz w:val="24"/>
              </w:rPr>
            </w:pPr>
            <w:r>
              <w:rPr>
                <w:rFonts w:hint="eastAsia"/>
                <w:b/>
                <w:bCs/>
                <w:spacing w:val="-4"/>
                <w:sz w:val="24"/>
              </w:rPr>
              <w:t>新鮮な空気の場所に移し、体を毛布等で覆い保温して安静を保ち、必要なら医師の手当てを受ける。</w:t>
            </w:r>
          </w:p>
        </w:tc>
      </w:tr>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水と石鹸で付着した部分を洗う。</w:t>
            </w:r>
          </w:p>
        </w:tc>
      </w:tr>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清浄な水で十分に目を洗浄した後、医師の手当てを受ける。</w:t>
            </w:r>
          </w:p>
        </w:tc>
      </w:tr>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無理に吐かせず、速やかに医師の手当てを受ける。</w:t>
            </w:r>
          </w:p>
        </w:tc>
      </w:tr>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口の中が汚染されている場合は、水で十分に洗う。</w:t>
            </w:r>
          </w:p>
        </w:tc>
      </w:tr>
    </w:tbl>
    <w:p w:rsidR="00574F23" w:rsidRDefault="00574F23">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pacing w:val="-4"/>
                <w:sz w:val="24"/>
              </w:rPr>
            </w:pPr>
            <w:r>
              <w:rPr>
                <w:rFonts w:hint="eastAsia"/>
                <w:b/>
                <w:bCs/>
                <w:spacing w:val="-4"/>
                <w:sz w:val="24"/>
              </w:rPr>
              <w:t>初期の火災には、粉末、炭酸ガス消火剤を用いる。</w:t>
            </w:r>
          </w:p>
        </w:tc>
      </w:tr>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大規模火災には、泡消火剤を用いて空気を遮断することが有効。</w:t>
            </w:r>
          </w:p>
        </w:tc>
      </w:tr>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火元への燃焼源を断ち、周囲の設備などに散水して冷却する。</w:t>
            </w:r>
          </w:p>
        </w:tc>
      </w:tr>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消火に棒状の水を用いてはならない。</w:t>
            </w:r>
          </w:p>
        </w:tc>
      </w:tr>
      <w:tr w:rsidR="00574F23">
        <w:tblPrEx>
          <w:tblCellMar>
            <w:top w:w="0" w:type="dxa"/>
            <w:bottom w:w="0" w:type="dxa"/>
          </w:tblCellMar>
        </w:tblPrEx>
        <w:trPr>
          <w:cantSplit/>
        </w:trPr>
        <w:tc>
          <w:tcPr>
            <w:tcW w:w="2615"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消火作業は風上から行い、必ず保護具を着用する。</w:t>
            </w:r>
          </w:p>
        </w:tc>
      </w:tr>
    </w:tbl>
    <w:p w:rsidR="00574F23" w:rsidRDefault="00574F23">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tabs>
                <w:tab w:val="left" w:pos="1545"/>
              </w:tabs>
              <w:spacing w:line="0" w:lineRule="atLeast"/>
              <w:rPr>
                <w:rFonts w:hint="eastAsia"/>
                <w:b/>
                <w:bCs/>
                <w:sz w:val="24"/>
              </w:rPr>
            </w:pPr>
            <w:r>
              <w:rPr>
                <w:rFonts w:hint="eastAsia"/>
                <w:b/>
                <w:bCs/>
                <w:sz w:val="24"/>
              </w:rPr>
              <w:t xml:space="preserve">(1) </w:t>
            </w:r>
            <w:r>
              <w:rPr>
                <w:rFonts w:hint="eastAsia"/>
                <w:b/>
                <w:bCs/>
                <w:sz w:val="24"/>
              </w:rPr>
              <w:t>炎、火花または高温体との接触を避け、みだりに蒸気を発散させない。</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ind w:left="429" w:hangingChars="178" w:hanging="429"/>
              <w:rPr>
                <w:rFonts w:hint="eastAsia"/>
                <w:b/>
                <w:bCs/>
                <w:sz w:val="24"/>
              </w:rPr>
            </w:pPr>
            <w:r>
              <w:rPr>
                <w:rFonts w:hint="eastAsia"/>
                <w:b/>
                <w:bCs/>
                <w:sz w:val="24"/>
              </w:rPr>
              <w:t xml:space="preserve">(2) </w:t>
            </w:r>
            <w:r>
              <w:rPr>
                <w:rFonts w:hint="eastAsia"/>
                <w:b/>
                <w:bCs/>
                <w:sz w:val="24"/>
              </w:rPr>
              <w:t>常温で取扱うものとし、水分、きょう雑物の混入に注意する。</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換気を十分行う。</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(4) </w:t>
            </w:r>
            <w:r>
              <w:rPr>
                <w:rFonts w:hint="eastAsia"/>
                <w:b/>
                <w:bCs/>
                <w:sz w:val="24"/>
              </w:rPr>
              <w:t>皮膚に触れたり、目に入る可能性がある場合は、保護具を着用する。</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ind w:left="482" w:hangingChars="200" w:hanging="482"/>
              <w:rPr>
                <w:rFonts w:hint="eastAsia"/>
                <w:b/>
                <w:bCs/>
                <w:sz w:val="24"/>
              </w:rPr>
            </w:pPr>
            <w:r>
              <w:rPr>
                <w:rFonts w:hint="eastAsia"/>
                <w:b/>
                <w:bCs/>
                <w:sz w:val="24"/>
              </w:rPr>
              <w:t xml:space="preserve">(5) </w:t>
            </w:r>
            <w:r>
              <w:rPr>
                <w:rFonts w:hint="eastAsia"/>
                <w:b/>
                <w:bCs/>
                <w:sz w:val="24"/>
              </w:rPr>
              <w:t>ミストが発生する場合には呼吸器具等を使用してミストを吸入しないようにすること。</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rPr>
                <w:rFonts w:hint="eastAsia"/>
                <w:b/>
                <w:bCs/>
                <w:sz w:val="24"/>
              </w:rPr>
            </w:pPr>
          </w:p>
        </w:tc>
      </w:tr>
    </w:tbl>
    <w:p w:rsidR="00574F23" w:rsidRDefault="00574F23">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(1) </w:t>
            </w:r>
            <w:r>
              <w:rPr>
                <w:rFonts w:hint="eastAsia"/>
                <w:b/>
                <w:bCs/>
                <w:sz w:val="24"/>
              </w:rPr>
              <w:t>直射日光を避け、換気の良い場所に保管する。</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ind w:left="429" w:hangingChars="178" w:hanging="429"/>
              <w:rPr>
                <w:rFonts w:hint="eastAsia"/>
                <w:b/>
                <w:bCs/>
                <w:sz w:val="24"/>
              </w:rPr>
            </w:pPr>
            <w:r>
              <w:rPr>
                <w:rFonts w:hint="eastAsia"/>
                <w:b/>
                <w:bCs/>
                <w:sz w:val="24"/>
              </w:rPr>
              <w:t xml:space="preserve">(2) </w:t>
            </w:r>
            <w:r>
              <w:rPr>
                <w:rFonts w:hint="eastAsia"/>
                <w:b/>
                <w:bCs/>
                <w:sz w:val="24"/>
              </w:rPr>
              <w:t>熱、スパーク、火炎並びに静電気蓄積を避ける。</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ハロゲン類、強酸類、アルカリ類、酸化性物質との接触並びに同一場所での保管を避ける。</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rPr>
                <w:rFonts w:hint="eastAsia"/>
                <w:b/>
                <w:bCs/>
                <w:sz w:val="24"/>
              </w:rPr>
            </w:pPr>
            <w:r>
              <w:rPr>
                <w:rFonts w:hint="eastAsia"/>
                <w:b/>
                <w:bCs/>
                <w:sz w:val="24"/>
              </w:rPr>
              <w:t xml:space="preserve">(4) </w:t>
            </w:r>
            <w:r>
              <w:rPr>
                <w:rFonts w:hint="eastAsia"/>
                <w:b/>
                <w:bCs/>
                <w:sz w:val="24"/>
              </w:rPr>
              <w:t>空容器に圧力をかけないこと。</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ind w:left="482" w:hangingChars="200" w:hanging="482"/>
              <w:rPr>
                <w:rFonts w:hint="eastAsia"/>
                <w:b/>
                <w:bCs/>
                <w:sz w:val="24"/>
              </w:rPr>
            </w:pPr>
            <w:r>
              <w:rPr>
                <w:rFonts w:hint="eastAsia"/>
                <w:b/>
                <w:bCs/>
                <w:sz w:val="24"/>
              </w:rPr>
              <w:t xml:space="preserve">(5) </w:t>
            </w:r>
            <w:r>
              <w:rPr>
                <w:rFonts w:hint="eastAsia"/>
                <w:b/>
                <w:bCs/>
                <w:sz w:val="24"/>
              </w:rPr>
              <w:t>容器は溶接、加熱、穴あけまたは切断をしないこと。</w:t>
            </w:r>
          </w:p>
        </w:tc>
      </w:tr>
      <w:tr w:rsidR="00574F23">
        <w:tblPrEx>
          <w:tblCellMar>
            <w:top w:w="0" w:type="dxa"/>
            <w:bottom w:w="0" w:type="dxa"/>
          </w:tblCellMar>
        </w:tblPrEx>
        <w:trPr>
          <w:cantSplit/>
        </w:trPr>
        <w:tc>
          <w:tcPr>
            <w:tcW w:w="10620" w:type="dxa"/>
            <w:tcBorders>
              <w:top w:val="nil"/>
              <w:left w:val="nil"/>
              <w:bottom w:val="nil"/>
              <w:right w:val="nil"/>
            </w:tcBorders>
          </w:tcPr>
          <w:p w:rsidR="00574F23" w:rsidRDefault="00574F23">
            <w:pPr>
              <w:spacing w:line="0" w:lineRule="atLeast"/>
              <w:rPr>
                <w:rFonts w:hint="eastAsia"/>
                <w:b/>
                <w:bCs/>
                <w:sz w:val="24"/>
              </w:rPr>
            </w:pPr>
          </w:p>
        </w:tc>
      </w:tr>
    </w:tbl>
    <w:p w:rsidR="00574F23" w:rsidRDefault="00574F23">
      <w:pPr>
        <w:spacing w:line="0" w:lineRule="atLeast"/>
        <w:rPr>
          <w:rFonts w:hint="eastAsia"/>
          <w:b/>
          <w:bCs/>
          <w:sz w:val="16"/>
        </w:rPr>
      </w:pPr>
    </w:p>
    <w:p w:rsidR="00574F23" w:rsidRDefault="00574F23">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421.35pt;margin-top:15.1pt;width:117pt;height:38.5pt;z-index:251659264" filled="f" stroked="f">
            <v:textbox>
              <w:txbxContent>
                <w:p w:rsidR="00574F23" w:rsidRDefault="00574F23">
                  <w:pPr>
                    <w:jc w:val="center"/>
                    <w:rPr>
                      <w:rFonts w:hint="eastAsia"/>
                    </w:rPr>
                  </w:pPr>
                  <w:r>
                    <w:rPr>
                      <w:rFonts w:hint="eastAsia"/>
                    </w:rPr>
                    <w:t>㈱</w:t>
                  </w:r>
                  <w:r w:rsidR="00D418FB">
                    <w:rPr>
                      <w:rFonts w:hint="eastAsia"/>
                    </w:rPr>
                    <w:t>TOWA</w:t>
                  </w:r>
                  <w:r w:rsidR="00D418FB">
                    <w:rPr>
                      <w:rFonts w:hint="eastAsia"/>
                    </w:rPr>
                    <w:t xml:space="preserve">　</w:t>
                  </w:r>
                  <w:r w:rsidR="00D418FB">
                    <w:rPr>
                      <w:rFonts w:hint="eastAsia"/>
                    </w:rPr>
                    <w:t>JAPAN</w:t>
                  </w:r>
                </w:p>
                <w:p w:rsidR="00574F23" w:rsidRDefault="00D418FB">
                  <w:pPr>
                    <w:jc w:val="center"/>
                    <w:rPr>
                      <w:rFonts w:hint="eastAsia"/>
                    </w:rPr>
                  </w:pPr>
                  <w:r>
                    <w:rPr>
                      <w:rFonts w:hint="eastAsia"/>
                    </w:rPr>
                    <w:t>安全衛生委員会</w:t>
                  </w:r>
                </w:p>
              </w:txbxContent>
            </v:textbox>
          </v:shape>
        </w:pict>
      </w:r>
    </w:p>
    <w:sectPr w:rsidR="00574F23">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792B" w:rsidRDefault="0069792B" w:rsidP="00917D4F">
      <w:r>
        <w:separator/>
      </w:r>
    </w:p>
  </w:endnote>
  <w:endnote w:type="continuationSeparator" w:id="0">
    <w:p w:rsidR="0069792B" w:rsidRDefault="0069792B" w:rsidP="00917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792B" w:rsidRDefault="0069792B" w:rsidP="00917D4F">
      <w:r>
        <w:separator/>
      </w:r>
    </w:p>
  </w:footnote>
  <w:footnote w:type="continuationSeparator" w:id="0">
    <w:p w:rsidR="0069792B" w:rsidRDefault="0069792B" w:rsidP="00917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836191514">
    <w:abstractNumId w:val="8"/>
  </w:num>
  <w:num w:numId="2" w16cid:durableId="91635904">
    <w:abstractNumId w:val="4"/>
  </w:num>
  <w:num w:numId="3" w16cid:durableId="1231308896">
    <w:abstractNumId w:val="6"/>
  </w:num>
  <w:num w:numId="4" w16cid:durableId="1000546930">
    <w:abstractNumId w:val="0"/>
  </w:num>
  <w:num w:numId="5" w16cid:durableId="875848982">
    <w:abstractNumId w:val="1"/>
  </w:num>
  <w:num w:numId="6" w16cid:durableId="1292442086">
    <w:abstractNumId w:val="2"/>
  </w:num>
  <w:num w:numId="7" w16cid:durableId="1150171205">
    <w:abstractNumId w:val="7"/>
  </w:num>
  <w:num w:numId="8" w16cid:durableId="1564175785">
    <w:abstractNumId w:val="5"/>
  </w:num>
  <w:num w:numId="9" w16cid:durableId="1129007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18FB"/>
    <w:rsid w:val="000F7E09"/>
    <w:rsid w:val="00574F23"/>
    <w:rsid w:val="0069792B"/>
    <w:rsid w:val="008C0219"/>
    <w:rsid w:val="00917D4F"/>
    <w:rsid w:val="00AB3ED3"/>
    <w:rsid w:val="00D418FB"/>
    <w:rsid w:val="00D93631"/>
    <w:rsid w:val="00E01D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E2BFBB28-AFEA-4EFC-8E9F-F4D14C6C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917D4F"/>
    <w:pPr>
      <w:tabs>
        <w:tab w:val="center" w:pos="4252"/>
        <w:tab w:val="right" w:pos="8504"/>
      </w:tabs>
      <w:snapToGrid w:val="0"/>
    </w:pPr>
  </w:style>
  <w:style w:type="character" w:customStyle="1" w:styleId="a6">
    <w:name w:val="ヘッダー (文字)"/>
    <w:basedOn w:val="a0"/>
    <w:link w:val="a5"/>
    <w:uiPriority w:val="99"/>
    <w:rsid w:val="00917D4F"/>
    <w:rPr>
      <w:rFonts w:eastAsia="HG丸ｺﾞｼｯｸM-PRO"/>
      <w:kern w:val="2"/>
      <w:sz w:val="21"/>
      <w:szCs w:val="24"/>
    </w:rPr>
  </w:style>
  <w:style w:type="paragraph" w:styleId="a7">
    <w:name w:val="footer"/>
    <w:basedOn w:val="a"/>
    <w:link w:val="a8"/>
    <w:uiPriority w:val="99"/>
    <w:unhideWhenUsed/>
    <w:rsid w:val="00917D4F"/>
    <w:pPr>
      <w:tabs>
        <w:tab w:val="center" w:pos="4252"/>
        <w:tab w:val="right" w:pos="8504"/>
      </w:tabs>
      <w:snapToGrid w:val="0"/>
    </w:pPr>
  </w:style>
  <w:style w:type="character" w:customStyle="1" w:styleId="a8">
    <w:name w:val="フッター (文字)"/>
    <w:basedOn w:val="a0"/>
    <w:link w:val="a7"/>
    <w:uiPriority w:val="99"/>
    <w:rsid w:val="00917D4F"/>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867</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