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0353" w:rsidRDefault="00D40353">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D40353" w:rsidRDefault="00D40353">
      <w:pPr>
        <w:spacing w:line="0" w:lineRule="atLeast"/>
        <w:jc w:val="center"/>
        <w:rPr>
          <w:rFonts w:hint="eastAsia"/>
          <w:sz w:val="16"/>
        </w:rPr>
      </w:pPr>
    </w:p>
    <w:p w:rsidR="00D40353" w:rsidRDefault="00D40353">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D40353" w:rsidRDefault="00D40353">
                  <w:pPr>
                    <w:pStyle w:val="a4"/>
                    <w:rPr>
                      <w:rFonts w:hint="eastAsia"/>
                      <w:spacing w:val="-10"/>
                    </w:rPr>
                  </w:pPr>
                  <w:r>
                    <w:rPr>
                      <w:rFonts w:hint="eastAsia"/>
                      <w:spacing w:val="-10"/>
                    </w:rPr>
                    <w:t>社内用ＭＳＤＳ</w:t>
                  </w:r>
                </w:p>
              </w:txbxContent>
            </v:textbox>
          </v:rect>
        </w:pict>
      </w:r>
    </w:p>
    <w:p w:rsidR="00D40353" w:rsidRDefault="00D40353">
      <w:pPr>
        <w:spacing w:line="0" w:lineRule="atLeast"/>
        <w:rPr>
          <w:rFonts w:hint="eastAsia"/>
        </w:rPr>
      </w:pPr>
    </w:p>
    <w:p w:rsidR="00D40353" w:rsidRDefault="00D40353">
      <w:pPr>
        <w:spacing w:line="0" w:lineRule="atLeast"/>
        <w:jc w:val="center"/>
        <w:rPr>
          <w:rFonts w:hint="eastAsia"/>
        </w:rPr>
      </w:pPr>
      <w:r>
        <w:rPr>
          <w:rFonts w:hint="eastAsia"/>
          <w:sz w:val="16"/>
        </w:rPr>
        <w:t>製品名：ケミコート№</w:t>
      </w:r>
      <w:r>
        <w:rPr>
          <w:rFonts w:hint="eastAsia"/>
          <w:sz w:val="16"/>
        </w:rPr>
        <w:t>505</w:t>
      </w:r>
    </w:p>
    <w:p w:rsidR="00D40353" w:rsidRDefault="00D40353">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ケミコート№505】"/>
          </v:shape>
        </w:pict>
      </w:r>
    </w:p>
    <w:p w:rsidR="00D40353" w:rsidRDefault="00D40353">
      <w:pPr>
        <w:spacing w:line="0" w:lineRule="atLeast"/>
        <w:rPr>
          <w:rFonts w:hint="eastAsia"/>
        </w:rPr>
      </w:pPr>
    </w:p>
    <w:p w:rsidR="00D40353" w:rsidRDefault="00D40353">
      <w:pPr>
        <w:spacing w:line="0" w:lineRule="atLeast"/>
        <w:rPr>
          <w:rFonts w:hint="eastAsia"/>
        </w:rPr>
      </w:pPr>
    </w:p>
    <w:p w:rsidR="00D40353" w:rsidRDefault="00D40353">
      <w:pPr>
        <w:spacing w:line="0" w:lineRule="atLeast"/>
        <w:rPr>
          <w:rFonts w:hint="eastAsia"/>
        </w:rPr>
      </w:pPr>
    </w:p>
    <w:p w:rsidR="00D40353" w:rsidRDefault="00D40353">
      <w:pPr>
        <w:spacing w:line="0" w:lineRule="atLeast"/>
        <w:rPr>
          <w:rFonts w:hint="eastAsia"/>
        </w:rPr>
      </w:pPr>
    </w:p>
    <w:p w:rsidR="00D40353" w:rsidRDefault="00D40353">
      <w:pPr>
        <w:spacing w:line="0" w:lineRule="atLeast"/>
        <w:rPr>
          <w:rFonts w:hint="eastAsia"/>
          <w:b/>
          <w:bCs/>
          <w:sz w:val="24"/>
        </w:rPr>
      </w:pPr>
      <w:r>
        <w:rPr>
          <w:rFonts w:hint="eastAsia"/>
          <w:b/>
          <w:bCs/>
          <w:sz w:val="24"/>
        </w:rPr>
        <w:t>【適用法規等】</w:t>
      </w:r>
    </w:p>
    <w:p w:rsidR="00D40353" w:rsidRDefault="00D40353">
      <w:pPr>
        <w:spacing w:line="0" w:lineRule="atLeast"/>
        <w:ind w:firstLineChars="100" w:firstLine="241"/>
        <w:rPr>
          <w:rFonts w:hint="eastAsia"/>
          <w:b/>
          <w:bCs/>
          <w:sz w:val="24"/>
        </w:rPr>
      </w:pPr>
      <w:r>
        <w:rPr>
          <w:rFonts w:hint="eastAsia"/>
          <w:b/>
          <w:bCs/>
          <w:sz w:val="24"/>
        </w:rPr>
        <w:t>ＰＲＴＲ法　：第１種指定物質（水溶性亜鉛化合物）</w:t>
      </w:r>
    </w:p>
    <w:p w:rsidR="00D40353" w:rsidRDefault="00D40353">
      <w:pPr>
        <w:spacing w:line="0" w:lineRule="atLeast"/>
        <w:ind w:firstLineChars="100" w:firstLine="241"/>
        <w:rPr>
          <w:rFonts w:hint="eastAsia"/>
          <w:b/>
          <w:bCs/>
          <w:sz w:val="24"/>
        </w:rPr>
      </w:pPr>
    </w:p>
    <w:p w:rsidR="00D40353" w:rsidRDefault="00D40353">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 xml:space="preserve">(1) </w:t>
            </w:r>
            <w:r>
              <w:rPr>
                <w:rFonts w:hint="eastAsia"/>
                <w:b/>
                <w:bCs/>
                <w:sz w:val="24"/>
              </w:rPr>
              <w:t>皮膚に長時間接触していると荒れることがある。</w:t>
            </w: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ind w:left="429" w:hangingChars="178" w:hanging="429"/>
              <w:rPr>
                <w:rFonts w:hint="eastAsia"/>
                <w:b/>
                <w:bCs/>
                <w:sz w:val="24"/>
              </w:rPr>
            </w:pPr>
            <w:r>
              <w:rPr>
                <w:rFonts w:hint="eastAsia"/>
                <w:b/>
                <w:bCs/>
                <w:sz w:val="24"/>
              </w:rPr>
              <w:t xml:space="preserve">(2) </w:t>
            </w:r>
            <w:r>
              <w:rPr>
                <w:rFonts w:hint="eastAsia"/>
                <w:b/>
                <w:bCs/>
                <w:sz w:val="24"/>
              </w:rPr>
              <w:t>弱酸性のため，目に入ると激痛を感じる。</w:t>
            </w: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pacing w:val="-6"/>
                <w:sz w:val="24"/>
              </w:rPr>
            </w:pP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z w:val="24"/>
              </w:rPr>
            </w:pPr>
          </w:p>
        </w:tc>
      </w:tr>
    </w:tbl>
    <w:p w:rsidR="00D40353" w:rsidRDefault="00D40353">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pacing w:val="-4"/>
                <w:sz w:val="24"/>
              </w:rPr>
            </w:pPr>
            <w:r>
              <w:rPr>
                <w:rFonts w:hint="eastAsia"/>
                <w:b/>
                <w:bCs/>
                <w:spacing w:val="-4"/>
                <w:sz w:val="24"/>
              </w:rPr>
              <w:t>新鮮な空気の場所へ移し，うがいをさせる。</w:t>
            </w: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pacing w:val="-4"/>
                <w:sz w:val="24"/>
              </w:rPr>
            </w:pPr>
            <w:r>
              <w:rPr>
                <w:rFonts w:hint="eastAsia"/>
                <w:b/>
                <w:bCs/>
                <w:spacing w:val="-4"/>
                <w:sz w:val="24"/>
              </w:rPr>
              <w:t>呼吸が止まっているときは人口呼吸を行い速やかに医師の手当てをうける。</w:t>
            </w: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多量の水でよく洗浄し，刺激が残るようであれば医師の診察を受ける。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z w:val="24"/>
              </w:rPr>
            </w:pP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直ちに多量の流水で十分洗浄し，速やかに医師の手当てを受ける。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z w:val="24"/>
              </w:rPr>
            </w:pP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大量の水を飲ませて吐き出させた後，医師の診察を受ける。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D40353" w:rsidRDefault="00D40353">
            <w:pPr>
              <w:spacing w:line="0" w:lineRule="atLeast"/>
              <w:rPr>
                <w:rFonts w:hint="eastAsia"/>
                <w:b/>
                <w:bCs/>
                <w:sz w:val="24"/>
              </w:rPr>
            </w:pPr>
          </w:p>
        </w:tc>
      </w:tr>
    </w:tbl>
    <w:p w:rsidR="00D40353" w:rsidRDefault="00D40353">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不燃性</w:t>
            </w: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p>
        </w:tc>
        <w:tc>
          <w:tcPr>
            <w:tcW w:w="7779" w:type="dxa"/>
            <w:tcBorders>
              <w:top w:val="nil"/>
              <w:left w:val="nil"/>
              <w:bottom w:val="nil"/>
              <w:right w:val="nil"/>
            </w:tcBorders>
          </w:tcPr>
          <w:p w:rsidR="00D40353" w:rsidRDefault="00D40353">
            <w:pPr>
              <w:spacing w:line="0" w:lineRule="atLeast"/>
              <w:rPr>
                <w:rFonts w:hint="eastAsia"/>
                <w:b/>
                <w:bCs/>
                <w:spacing w:val="-4"/>
                <w:sz w:val="24"/>
              </w:rPr>
            </w:pPr>
          </w:p>
        </w:tc>
      </w:tr>
      <w:tr w:rsidR="00000000">
        <w:tblPrEx>
          <w:tblCellMar>
            <w:top w:w="0" w:type="dxa"/>
            <w:bottom w:w="0" w:type="dxa"/>
          </w:tblCellMar>
        </w:tblPrEx>
        <w:trPr>
          <w:cantSplit/>
        </w:trPr>
        <w:tc>
          <w:tcPr>
            <w:tcW w:w="2615" w:type="dxa"/>
            <w:tcBorders>
              <w:top w:val="nil"/>
              <w:left w:val="nil"/>
              <w:bottom w:val="nil"/>
              <w:right w:val="nil"/>
            </w:tcBorders>
          </w:tcPr>
          <w:p w:rsidR="00D40353" w:rsidRDefault="00D40353">
            <w:pPr>
              <w:spacing w:line="0" w:lineRule="atLeast"/>
              <w:rPr>
                <w:rFonts w:hint="eastAsia"/>
                <w:b/>
                <w:bCs/>
                <w:sz w:val="24"/>
              </w:rPr>
            </w:pPr>
          </w:p>
        </w:tc>
        <w:tc>
          <w:tcPr>
            <w:tcW w:w="218" w:type="dxa"/>
            <w:tcBorders>
              <w:top w:val="nil"/>
              <w:left w:val="nil"/>
              <w:bottom w:val="nil"/>
              <w:right w:val="nil"/>
            </w:tcBorders>
          </w:tcPr>
          <w:p w:rsidR="00D40353" w:rsidRDefault="00D40353">
            <w:pPr>
              <w:spacing w:line="0" w:lineRule="atLeast"/>
              <w:jc w:val="right"/>
              <w:rPr>
                <w:rFonts w:hint="eastAsia"/>
                <w:b/>
                <w:bCs/>
                <w:spacing w:val="-20"/>
                <w:sz w:val="16"/>
              </w:rPr>
            </w:pPr>
          </w:p>
        </w:tc>
        <w:tc>
          <w:tcPr>
            <w:tcW w:w="7779" w:type="dxa"/>
            <w:tcBorders>
              <w:top w:val="nil"/>
              <w:left w:val="nil"/>
              <w:bottom w:val="nil"/>
              <w:right w:val="nil"/>
            </w:tcBorders>
          </w:tcPr>
          <w:p w:rsidR="00D40353" w:rsidRDefault="00D40353">
            <w:pPr>
              <w:spacing w:line="0" w:lineRule="atLeast"/>
              <w:rPr>
                <w:rFonts w:hint="eastAsia"/>
                <w:b/>
                <w:bCs/>
                <w:spacing w:val="-4"/>
                <w:sz w:val="24"/>
              </w:rPr>
            </w:pPr>
          </w:p>
        </w:tc>
      </w:tr>
    </w:tbl>
    <w:p w:rsidR="00D40353" w:rsidRDefault="00D40353">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取扱い時は保護具を着用する。</w:t>
            </w: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ind w:left="429" w:hangingChars="178" w:hanging="429"/>
              <w:rPr>
                <w:rFonts w:hint="eastAsia"/>
                <w:b/>
                <w:bCs/>
                <w:sz w:val="24"/>
              </w:rPr>
            </w:pP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z w:val="24"/>
              </w:rPr>
            </w:pPr>
          </w:p>
        </w:tc>
      </w:tr>
    </w:tbl>
    <w:p w:rsidR="00D40353" w:rsidRDefault="00D40353">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z w:val="24"/>
              </w:rPr>
            </w:pPr>
            <w:r>
              <w:rPr>
                <w:rFonts w:hint="eastAsia"/>
                <w:b/>
                <w:bCs/>
                <w:sz w:val="24"/>
              </w:rPr>
              <w:t>直射日光を避けて保管する。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ind w:left="429" w:hangingChars="178" w:hanging="429"/>
              <w:rPr>
                <w:rFonts w:hint="eastAsia"/>
                <w:b/>
                <w:bCs/>
                <w:sz w:val="24"/>
              </w:rPr>
            </w:pP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pacing w:val="-6"/>
                <w:sz w:val="24"/>
              </w:rPr>
            </w:pPr>
          </w:p>
        </w:tc>
      </w:tr>
      <w:tr w:rsidR="00000000">
        <w:tblPrEx>
          <w:tblCellMar>
            <w:top w:w="0" w:type="dxa"/>
            <w:bottom w:w="0" w:type="dxa"/>
          </w:tblCellMar>
        </w:tblPrEx>
        <w:trPr>
          <w:cantSplit/>
        </w:trPr>
        <w:tc>
          <w:tcPr>
            <w:tcW w:w="10620" w:type="dxa"/>
            <w:tcBorders>
              <w:top w:val="nil"/>
              <w:left w:val="nil"/>
              <w:bottom w:val="nil"/>
              <w:right w:val="nil"/>
            </w:tcBorders>
          </w:tcPr>
          <w:p w:rsidR="00D40353" w:rsidRDefault="00D40353">
            <w:pPr>
              <w:spacing w:line="0" w:lineRule="atLeast"/>
              <w:rPr>
                <w:rFonts w:hint="eastAsia"/>
                <w:b/>
                <w:bCs/>
                <w:sz w:val="24"/>
              </w:rPr>
            </w:pPr>
          </w:p>
        </w:tc>
      </w:tr>
    </w:tbl>
    <w:p w:rsidR="00D40353" w:rsidRDefault="00D40353">
      <w:pPr>
        <w:spacing w:line="0" w:lineRule="atLeast"/>
        <w:rPr>
          <w:rFonts w:hint="eastAsia"/>
          <w:b/>
          <w:bCs/>
          <w:sz w:val="16"/>
        </w:rPr>
      </w:pPr>
    </w:p>
    <w:p w:rsidR="00D40353" w:rsidRDefault="00D40353">
      <w:pPr>
        <w:spacing w:line="0" w:lineRule="atLeast"/>
        <w:rPr>
          <w:rFonts w:hint="eastAsia"/>
          <w:b/>
          <w:bCs/>
          <w:sz w:val="16"/>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14pt;margin-top:6.2pt;width:113.4pt;height:113.4pt;z-index:-251657728;mso-wrap-edited:f" wrapcoords="-127 0 -127 21473 21600 21473 21600 0 -127 0">
            <v:imagedata r:id="rId7" o:title=""/>
            <o:lock v:ext="edit" aspectratio="f"/>
          </v:shape>
        </w:pict>
      </w:r>
    </w:p>
    <w:p w:rsidR="00D40353" w:rsidRDefault="00D40353">
      <w:pPr>
        <w:pStyle w:val="a3"/>
        <w:spacing w:line="0" w:lineRule="atLeast"/>
        <w:jc w:val="right"/>
        <w:rPr>
          <w:rFonts w:hint="eastAsia"/>
          <w:b/>
          <w:bCs/>
          <w:sz w:val="22"/>
        </w:rPr>
      </w:pPr>
    </w:p>
    <w:p w:rsidR="00D40353" w:rsidRDefault="00D40353">
      <w:pPr>
        <w:pStyle w:val="a3"/>
        <w:spacing w:line="0" w:lineRule="atLeast"/>
        <w:rPr>
          <w:rFonts w:hint="eastAsia"/>
          <w:b/>
          <w:bCs/>
          <w:sz w:val="40"/>
          <w:u w:val="single"/>
        </w:rPr>
      </w:pPr>
    </w:p>
    <w:p w:rsidR="00D40353" w:rsidRDefault="00D40353">
      <w:pPr>
        <w:rPr>
          <w:rFonts w:hint="eastAsia"/>
          <w:sz w:val="22"/>
        </w:rPr>
      </w:pPr>
    </w:p>
    <w:p w:rsidR="00D40353" w:rsidRDefault="00D40353">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14pt;margin-top:80.85pt;width:117pt;height:38.5pt;z-index:251659776" filled="f" stroked="f">
            <v:textbox>
              <w:txbxContent>
                <w:p w:rsidR="00D40353" w:rsidRDefault="00D40353">
                  <w:pPr>
                    <w:jc w:val="center"/>
                    <w:rPr>
                      <w:rFonts w:hint="eastAsia"/>
                    </w:rPr>
                  </w:pPr>
                  <w:r>
                    <w:rPr>
                      <w:rFonts w:hint="eastAsia"/>
                    </w:rPr>
                    <w:t>㈱東和製作所</w:t>
                  </w:r>
                </w:p>
                <w:p w:rsidR="00D40353" w:rsidRDefault="00D40353">
                  <w:pPr>
                    <w:jc w:val="center"/>
                    <w:rPr>
                      <w:rFonts w:hint="eastAsia"/>
                    </w:rPr>
                  </w:pPr>
                  <w:r>
                    <w:rPr>
                      <w:rFonts w:hint="eastAsia"/>
                    </w:rPr>
                    <w:t>社　長　室</w:t>
                  </w:r>
                </w:p>
              </w:txbxContent>
            </v:textbox>
          </v:shape>
        </w:pict>
      </w:r>
    </w:p>
    <w:sectPr w:rsidR="00D40353">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353" w:rsidRDefault="00D40353" w:rsidP="00181318">
      <w:r>
        <w:separator/>
      </w:r>
    </w:p>
  </w:endnote>
  <w:endnote w:type="continuationSeparator" w:id="0">
    <w:p w:rsidR="00D40353" w:rsidRDefault="00D40353" w:rsidP="00181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353" w:rsidRDefault="00D40353" w:rsidP="00181318">
      <w:r>
        <w:separator/>
      </w:r>
    </w:p>
  </w:footnote>
  <w:footnote w:type="continuationSeparator" w:id="0">
    <w:p w:rsidR="00D40353" w:rsidRDefault="00D40353" w:rsidP="001813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032613093">
    <w:abstractNumId w:val="8"/>
  </w:num>
  <w:num w:numId="2" w16cid:durableId="1806005195">
    <w:abstractNumId w:val="4"/>
  </w:num>
  <w:num w:numId="3" w16cid:durableId="328142443">
    <w:abstractNumId w:val="6"/>
  </w:num>
  <w:num w:numId="4" w16cid:durableId="1096751381">
    <w:abstractNumId w:val="0"/>
  </w:num>
  <w:num w:numId="5" w16cid:durableId="11878020">
    <w:abstractNumId w:val="1"/>
  </w:num>
  <w:num w:numId="6" w16cid:durableId="246426797">
    <w:abstractNumId w:val="2"/>
  </w:num>
  <w:num w:numId="7" w16cid:durableId="618948907">
    <w:abstractNumId w:val="7"/>
  </w:num>
  <w:num w:numId="8" w16cid:durableId="1746148259">
    <w:abstractNumId w:val="5"/>
  </w:num>
  <w:num w:numId="9" w16cid:durableId="1702899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4EDB"/>
    <w:rsid w:val="00181318"/>
    <w:rsid w:val="00D40353"/>
    <w:rsid w:val="00E54E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6B8B910A-522F-4D87-B618-92723ABF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181318"/>
    <w:pPr>
      <w:tabs>
        <w:tab w:val="center" w:pos="4252"/>
        <w:tab w:val="right" w:pos="8504"/>
      </w:tabs>
      <w:snapToGrid w:val="0"/>
    </w:pPr>
  </w:style>
  <w:style w:type="character" w:customStyle="1" w:styleId="a6">
    <w:name w:val="ヘッダー (文字)"/>
    <w:basedOn w:val="a0"/>
    <w:link w:val="a5"/>
    <w:uiPriority w:val="99"/>
    <w:rsid w:val="00181318"/>
    <w:rPr>
      <w:rFonts w:eastAsia="HG丸ｺﾞｼｯｸM-PRO"/>
      <w:kern w:val="2"/>
      <w:sz w:val="21"/>
      <w:szCs w:val="24"/>
    </w:rPr>
  </w:style>
  <w:style w:type="paragraph" w:styleId="a7">
    <w:name w:val="footer"/>
    <w:basedOn w:val="a"/>
    <w:link w:val="a8"/>
    <w:uiPriority w:val="99"/>
    <w:unhideWhenUsed/>
    <w:rsid w:val="00181318"/>
    <w:pPr>
      <w:tabs>
        <w:tab w:val="center" w:pos="4252"/>
        <w:tab w:val="right" w:pos="8504"/>
      </w:tabs>
      <w:snapToGrid w:val="0"/>
    </w:pPr>
  </w:style>
  <w:style w:type="character" w:customStyle="1" w:styleId="a8">
    <w:name w:val="フッター (文字)"/>
    <w:basedOn w:val="a0"/>
    <w:link w:val="a7"/>
    <w:uiPriority w:val="99"/>
    <w:rsid w:val="00181318"/>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381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