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397" w:rsidRDefault="00C7539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C75397" w:rsidRDefault="00C75397">
      <w:pPr>
        <w:spacing w:line="0" w:lineRule="atLeast"/>
        <w:jc w:val="center"/>
        <w:rPr>
          <w:rFonts w:hint="eastAsia"/>
          <w:sz w:val="16"/>
        </w:rPr>
      </w:pPr>
    </w:p>
    <w:p w:rsidR="00C75397" w:rsidRDefault="00C7539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C75397" w:rsidRDefault="00C7539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C75397" w:rsidRDefault="00C75397">
      <w:pPr>
        <w:spacing w:line="0" w:lineRule="atLeast"/>
        <w:rPr>
          <w:rFonts w:hint="eastAsia"/>
        </w:rPr>
      </w:pPr>
    </w:p>
    <w:p w:rsidR="00C75397" w:rsidRDefault="00C7539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proofErr w:type="spellStart"/>
      <w:r>
        <w:rPr>
          <w:rFonts w:hint="eastAsia"/>
          <w:sz w:val="16"/>
        </w:rPr>
        <w:t>Syntilo</w:t>
      </w:r>
      <w:proofErr w:type="spellEnd"/>
      <w:r>
        <w:rPr>
          <w:rFonts w:hint="eastAsia"/>
          <w:sz w:val="16"/>
        </w:rPr>
        <w:t xml:space="preserve">　</w:t>
      </w:r>
      <w:r>
        <w:rPr>
          <w:rFonts w:hint="eastAsia"/>
          <w:sz w:val="16"/>
        </w:rPr>
        <w:t>9930C</w:t>
      </w:r>
    </w:p>
    <w:p w:rsidR="00C75397" w:rsidRDefault="00C7539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シンタイロ9930C】"/>
          </v:shape>
        </w:pict>
      </w:r>
    </w:p>
    <w:p w:rsidR="00C75397" w:rsidRDefault="00C75397">
      <w:pPr>
        <w:spacing w:line="0" w:lineRule="atLeast"/>
        <w:rPr>
          <w:rFonts w:hint="eastAsia"/>
        </w:rPr>
      </w:pPr>
    </w:p>
    <w:p w:rsidR="00C75397" w:rsidRDefault="00C75397">
      <w:pPr>
        <w:spacing w:line="0" w:lineRule="atLeast"/>
        <w:rPr>
          <w:rFonts w:hint="eastAsia"/>
        </w:rPr>
      </w:pPr>
    </w:p>
    <w:p w:rsidR="00C75397" w:rsidRDefault="00C75397">
      <w:pPr>
        <w:spacing w:line="0" w:lineRule="atLeast"/>
        <w:rPr>
          <w:rFonts w:hint="eastAsia"/>
        </w:rPr>
      </w:pPr>
    </w:p>
    <w:p w:rsidR="00C75397" w:rsidRDefault="00C75397">
      <w:pPr>
        <w:spacing w:line="0" w:lineRule="atLeast"/>
        <w:rPr>
          <w:rFonts w:hint="eastAsia"/>
        </w:rPr>
      </w:pPr>
    </w:p>
    <w:p w:rsidR="00C75397" w:rsidRDefault="00C753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C75397" w:rsidRDefault="00C753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労働安全衛生法：通知対象物質（第５７条２項）ﾄﾘｴﾀﾉｰﾙｱﾐﾝ・ほう酸ﾅﾄﾘｳﾑ</w:t>
      </w:r>
    </w:p>
    <w:p w:rsidR="00C75397" w:rsidRDefault="00C753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水質汚濁防止法：排出基準</w:t>
      </w:r>
    </w:p>
    <w:p w:rsidR="00C75397" w:rsidRDefault="00C753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：排出規制</w:t>
      </w:r>
    </w:p>
    <w:p w:rsidR="00C75397" w:rsidRDefault="00C7539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C75397" w:rsidRDefault="00C7539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皮膚，目に対して軽度の刺激性がある。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C75397" w:rsidRDefault="00C753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直ちに空気の新鮮な場所へ移動し，身体を毛布等で保温し安静に保ち，</w:t>
            </w:r>
          </w:p>
          <w:p w:rsidR="00C75397" w:rsidRDefault="00C7539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必要であれば医師の診断を受ける。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皮膚外観に変化がみられたり，刺激が続く場合は医師の手当てを受ける。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直ちに清浄な水で最低１５分間洗浄し，医師の手当てを受ける。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直ちに吐かせ，医師の手当てを受ける。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口の中が汚染されている場合は，水で十分に洗う。</w:t>
            </w:r>
          </w:p>
        </w:tc>
      </w:tr>
    </w:tbl>
    <w:p w:rsidR="00C75397" w:rsidRDefault="00C7539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霧状の強化液，泡，炭酸ガス，ハロゲン化物，粉末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初期の火災には，炭酸ガス，粉末などを用いる。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大規模火災には，泡消火器を用いる。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水は火災を拡大する危険な場合があるため使用しない。</w:t>
            </w:r>
          </w:p>
        </w:tc>
      </w:tr>
    </w:tbl>
    <w:p w:rsidR="00C75397" w:rsidRDefault="00C7539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numPr>
                <w:ilvl w:val="0"/>
                <w:numId w:val="9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常温で換気の良い場所で取り扱う。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保護眼鏡，保護手袋を着用し，目・皮膚等に触れないようにする。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呼吸器具を着用し，ミスト又は蒸気を吸入しないようにする。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破裂する恐れがあるため，容器に圧力をかけない。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強酸化剤（硝酸等）との接触を避ける。</w:t>
            </w:r>
          </w:p>
        </w:tc>
      </w:tr>
    </w:tbl>
    <w:p w:rsidR="00C75397" w:rsidRDefault="00C75397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05pt;margin-top:84.85pt;width:113.4pt;height:113.4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密栓し，直射日光を避け，５℃～３５℃で保管する。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長期の保管は避ける。（６ヶ月以内）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75397" w:rsidRDefault="00C7539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C75397" w:rsidRDefault="00C75397">
      <w:pPr>
        <w:spacing w:line="0" w:lineRule="atLeast"/>
        <w:rPr>
          <w:rFonts w:hint="eastAsia"/>
          <w:b/>
          <w:bCs/>
          <w:sz w:val="16"/>
        </w:rPr>
      </w:pPr>
    </w:p>
    <w:p w:rsidR="00C75397" w:rsidRDefault="00C75397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:rsidR="00C75397" w:rsidRDefault="00C75397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C75397" w:rsidRDefault="00C75397">
      <w:pPr>
        <w:rPr>
          <w:rFonts w:hint="eastAsia"/>
          <w:sz w:val="22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05pt;margin-top:13.1pt;width:117pt;height:38.5pt;z-index:251659776" filled="f" stroked="f">
            <v:textbox>
              <w:txbxContent>
                <w:p w:rsidR="00C75397" w:rsidRDefault="00C7539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C75397" w:rsidRDefault="00C7539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p w:rsidR="00C75397" w:rsidRDefault="00C75397">
      <w:pPr>
        <w:rPr>
          <w:rFonts w:hint="eastAsia"/>
          <w:sz w:val="36"/>
        </w:rPr>
      </w:pPr>
    </w:p>
    <w:sectPr w:rsidR="00C7539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5397" w:rsidRDefault="00C75397" w:rsidP="003131E9">
      <w:r>
        <w:separator/>
      </w:r>
    </w:p>
  </w:endnote>
  <w:endnote w:type="continuationSeparator" w:id="0">
    <w:p w:rsidR="00C75397" w:rsidRDefault="00C75397" w:rsidP="00313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5397" w:rsidRDefault="00C75397" w:rsidP="003131E9">
      <w:r>
        <w:separator/>
      </w:r>
    </w:p>
  </w:footnote>
  <w:footnote w:type="continuationSeparator" w:id="0">
    <w:p w:rsidR="00C75397" w:rsidRDefault="00C75397" w:rsidP="00313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74337981">
    <w:abstractNumId w:val="8"/>
  </w:num>
  <w:num w:numId="2" w16cid:durableId="1011449438">
    <w:abstractNumId w:val="4"/>
  </w:num>
  <w:num w:numId="3" w16cid:durableId="1029333544">
    <w:abstractNumId w:val="6"/>
  </w:num>
  <w:num w:numId="4" w16cid:durableId="1885629285">
    <w:abstractNumId w:val="0"/>
  </w:num>
  <w:num w:numId="5" w16cid:durableId="1478573856">
    <w:abstractNumId w:val="1"/>
  </w:num>
  <w:num w:numId="6" w16cid:durableId="17202629">
    <w:abstractNumId w:val="2"/>
  </w:num>
  <w:num w:numId="7" w16cid:durableId="1088775030">
    <w:abstractNumId w:val="7"/>
  </w:num>
  <w:num w:numId="8" w16cid:durableId="1886330737">
    <w:abstractNumId w:val="5"/>
  </w:num>
  <w:num w:numId="9" w16cid:durableId="160132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6852"/>
    <w:rsid w:val="003131E9"/>
    <w:rsid w:val="00C75397"/>
    <w:rsid w:val="00E3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97CB270-9F56-42F8-9B91-4A95F043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3131E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131E9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3131E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131E9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