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27E6" w:rsidRDefault="006127E6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6127E6" w:rsidRDefault="006127E6">
      <w:pPr>
        <w:spacing w:line="0" w:lineRule="atLeast"/>
        <w:jc w:val="center"/>
        <w:rPr>
          <w:rFonts w:hint="eastAsia"/>
          <w:sz w:val="16"/>
        </w:rPr>
      </w:pPr>
    </w:p>
    <w:p w:rsidR="006127E6" w:rsidRDefault="006127E6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6127E6" w:rsidRDefault="006127E6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6127E6" w:rsidRDefault="006127E6">
      <w:pPr>
        <w:spacing w:line="0" w:lineRule="atLeast"/>
        <w:rPr>
          <w:rFonts w:hint="eastAsia"/>
        </w:rPr>
      </w:pPr>
    </w:p>
    <w:p w:rsidR="006127E6" w:rsidRDefault="006127E6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FC03F6">
        <w:rPr>
          <w:rFonts w:hint="eastAsia"/>
          <w:sz w:val="16"/>
        </w:rPr>
        <w:t>ブレーキ＆パーツクリーナー</w:t>
      </w:r>
    </w:p>
    <w:p w:rsidR="006127E6" w:rsidRDefault="006127E6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Ｐゴシック&quot;;font-weight:bold;v-text-reverse:t;v-text-kern:t" trim="t" fitpath="t" string="【ブレーキ＆パーツクリーナー】"/>
          </v:shape>
        </w:pict>
      </w:r>
    </w:p>
    <w:p w:rsidR="006127E6" w:rsidRDefault="006127E6">
      <w:pPr>
        <w:spacing w:line="0" w:lineRule="atLeast"/>
        <w:rPr>
          <w:rFonts w:hint="eastAsia"/>
        </w:rPr>
      </w:pPr>
    </w:p>
    <w:p w:rsidR="006127E6" w:rsidRDefault="006127E6">
      <w:pPr>
        <w:spacing w:line="0" w:lineRule="atLeast"/>
        <w:rPr>
          <w:rFonts w:hint="eastAsia"/>
        </w:rPr>
      </w:pPr>
    </w:p>
    <w:p w:rsidR="006127E6" w:rsidRDefault="006127E6">
      <w:pPr>
        <w:spacing w:line="0" w:lineRule="atLeast"/>
        <w:rPr>
          <w:rFonts w:hint="eastAsia"/>
        </w:rPr>
      </w:pPr>
    </w:p>
    <w:p w:rsidR="006127E6" w:rsidRDefault="006127E6">
      <w:pPr>
        <w:spacing w:line="0" w:lineRule="atLeast"/>
        <w:rPr>
          <w:rFonts w:hint="eastAsia"/>
        </w:rPr>
      </w:pPr>
    </w:p>
    <w:p w:rsidR="006127E6" w:rsidRDefault="006127E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6127E6" w:rsidRDefault="006127E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</w:t>
      </w:r>
      <w:r w:rsidR="00FC03F6">
        <w:rPr>
          <w:rFonts w:hint="eastAsia"/>
          <w:b/>
          <w:bCs/>
          <w:sz w:val="24"/>
        </w:rPr>
        <w:t>第</w:t>
      </w:r>
      <w:r w:rsidR="00FC03F6">
        <w:rPr>
          <w:rFonts w:hint="eastAsia"/>
          <w:b/>
          <w:bCs/>
          <w:sz w:val="24"/>
        </w:rPr>
        <w:t>4</w:t>
      </w:r>
      <w:r w:rsidR="00FC03F6">
        <w:rPr>
          <w:rFonts w:hint="eastAsia"/>
          <w:b/>
          <w:bCs/>
          <w:sz w:val="24"/>
        </w:rPr>
        <w:t>類第</w:t>
      </w:r>
      <w:r w:rsidR="00FC03F6">
        <w:rPr>
          <w:rFonts w:hint="eastAsia"/>
          <w:b/>
          <w:bCs/>
          <w:sz w:val="24"/>
        </w:rPr>
        <w:t>1</w:t>
      </w:r>
      <w:r w:rsidR="00FC03F6">
        <w:rPr>
          <w:rFonts w:hint="eastAsia"/>
          <w:b/>
          <w:bCs/>
          <w:sz w:val="24"/>
        </w:rPr>
        <w:t>石油類（非水溶性）危険等級Ⅱ</w:t>
      </w:r>
    </w:p>
    <w:p w:rsidR="006127E6" w:rsidRDefault="006127E6" w:rsidP="0028569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FC03F6">
        <w:rPr>
          <w:rFonts w:hint="eastAsia"/>
          <w:b/>
          <w:bCs/>
          <w:sz w:val="24"/>
        </w:rPr>
        <w:t>通知すべき有害物　ヘキタン、エタノール、</w:t>
      </w:r>
      <w:r w:rsidR="00285692">
        <w:rPr>
          <w:rFonts w:hint="eastAsia"/>
          <w:b/>
          <w:bCs/>
          <w:sz w:val="24"/>
        </w:rPr>
        <w:t>ブタン</w:t>
      </w:r>
    </w:p>
    <w:p w:rsidR="00285692" w:rsidRPr="00285692" w:rsidRDefault="00285692" w:rsidP="0028569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化審法　　　　：ヘキサン、プロパン、イソブタン、ｎ－ブタン、二酸化炭素</w:t>
      </w:r>
    </w:p>
    <w:p w:rsidR="006127E6" w:rsidRDefault="00285692" w:rsidP="0028569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廃棄処理法</w:t>
      </w:r>
      <w:r w:rsidR="006127E6">
        <w:rPr>
          <w:rFonts w:hint="eastAsia"/>
          <w:b/>
          <w:bCs/>
          <w:sz w:val="24"/>
        </w:rPr>
        <w:t xml:space="preserve">　　：</w:t>
      </w:r>
      <w:r>
        <w:rPr>
          <w:rFonts w:hint="eastAsia"/>
          <w:b/>
          <w:bCs/>
          <w:sz w:val="24"/>
        </w:rPr>
        <w:t>特別管理産業廃棄物</w:t>
      </w:r>
    </w:p>
    <w:p w:rsidR="00285692" w:rsidRDefault="00285692" w:rsidP="0028569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:rsidR="006127E6" w:rsidRDefault="006127E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C63ADC">
              <w:rPr>
                <w:rFonts w:hint="eastAsia"/>
                <w:b/>
                <w:bCs/>
                <w:sz w:val="24"/>
              </w:rPr>
              <w:t>眼に入ったり皮膚に触れると炎症を起こす恐れがある。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C63ADC">
              <w:rPr>
                <w:rFonts w:hint="eastAsia"/>
                <w:b/>
                <w:bCs/>
                <w:sz w:val="24"/>
              </w:rPr>
              <w:t>誤飲、気道に侵入すると生命に危険の恐れがある。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C63ADC">
              <w:rPr>
                <w:rFonts w:hint="eastAsia"/>
                <w:b/>
                <w:bCs/>
                <w:spacing w:val="-6"/>
                <w:sz w:val="24"/>
              </w:rPr>
              <w:t>ミストを吸入すると気分が悪くなることがある。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127E6" w:rsidRDefault="006127E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ED2AE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通気の良い場所で安静にし、気分が回復しない場合は医師の診断を受ける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ED2AE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多量の水および石鹸で洗い流す。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90016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目を擦らず直ちに清浄な水で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分間以上洗う。目の刺激が続く場合は医師の手当を受ける。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90016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水で口の中を洗浄し、コップ１～２杯の水または牛乳を飲ませ、直ちに医師の診断を受ける。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127E6" w:rsidRDefault="006127E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90016D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初期火災には粉末、二酸化炭素、乾燥砂などを用いる。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90016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</w:t>
            </w:r>
            <w:r w:rsidR="00C97BD0">
              <w:rPr>
                <w:rFonts w:hint="eastAsia"/>
                <w:b/>
                <w:bCs/>
                <w:sz w:val="24"/>
              </w:rPr>
              <w:t>を用いて空気を遮断する。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C97B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使ってはならない消火剤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C97B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冷却の目的で霧状水は用いてもよいが、消火に棒状水を用いてはならない。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C97B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適切な保護具を着用して消火を行う。</w:t>
            </w:r>
          </w:p>
        </w:tc>
      </w:tr>
    </w:tbl>
    <w:p w:rsidR="00C97BD0" w:rsidRDefault="00C97BD0">
      <w:pPr>
        <w:spacing w:line="0" w:lineRule="atLeast"/>
        <w:rPr>
          <w:rFonts w:hint="eastAsia"/>
          <w:b/>
          <w:bCs/>
          <w:sz w:val="24"/>
        </w:rPr>
      </w:pPr>
    </w:p>
    <w:p w:rsidR="006127E6" w:rsidRDefault="006127E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F63211">
              <w:rPr>
                <w:rFonts w:hint="eastAsia"/>
                <w:b/>
                <w:bCs/>
                <w:sz w:val="24"/>
              </w:rPr>
              <w:t>取扱いは換気のよい場所で行う。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F63211">
              <w:rPr>
                <w:rFonts w:hint="eastAsia"/>
                <w:b/>
                <w:bCs/>
                <w:sz w:val="24"/>
              </w:rPr>
              <w:t>発散した蒸気を吸い込まないようにすること。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F63211">
              <w:rPr>
                <w:rFonts w:hint="eastAsia"/>
                <w:b/>
                <w:bCs/>
                <w:spacing w:val="-6"/>
                <w:sz w:val="24"/>
              </w:rPr>
              <w:t>眼、皮膚、衣類に付けないこと。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F63211">
              <w:rPr>
                <w:rFonts w:hint="eastAsia"/>
                <w:b/>
                <w:bCs/>
                <w:sz w:val="24"/>
              </w:rPr>
              <w:t>取扱い後は手、顔等をよく洗い、うがいをすること。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 w:rsidR="001114B1">
              <w:rPr>
                <w:rFonts w:hint="eastAsia"/>
                <w:b/>
                <w:bCs/>
                <w:sz w:val="24"/>
              </w:rPr>
              <w:t>周囲での高温物、スパーク、火気の使用を禁止する。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 w:rsidR="001114B1">
              <w:rPr>
                <w:rFonts w:hint="eastAsia"/>
                <w:b/>
                <w:bCs/>
                <w:sz w:val="24"/>
              </w:rPr>
              <w:t>機器類は防爆構造とし、設備は静電気対策を実施する。</w:t>
            </w:r>
          </w:p>
        </w:tc>
      </w:tr>
    </w:tbl>
    <w:p w:rsidR="00C63ADC" w:rsidRDefault="00C63ADC">
      <w:pPr>
        <w:spacing w:line="0" w:lineRule="atLeast"/>
        <w:rPr>
          <w:rFonts w:hint="eastAsia"/>
          <w:b/>
          <w:bCs/>
          <w:sz w:val="24"/>
        </w:rPr>
      </w:pPr>
    </w:p>
    <w:p w:rsidR="006127E6" w:rsidRDefault="006127E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1114B1">
              <w:rPr>
                <w:rFonts w:hint="eastAsia"/>
                <w:b/>
                <w:bCs/>
                <w:sz w:val="24"/>
              </w:rPr>
              <w:t>直射日光を避け、換気のよい場所で容器を密閉し保管すること。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C63AD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43.7pt;margin-top:1.8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 w:rsidR="006127E6">
              <w:rPr>
                <w:rFonts w:hint="eastAsia"/>
                <w:b/>
                <w:bCs/>
                <w:sz w:val="24"/>
              </w:rPr>
              <w:t xml:space="preserve">(2) </w:t>
            </w:r>
            <w:r w:rsidR="001114B1">
              <w:rPr>
                <w:rFonts w:hint="eastAsia"/>
                <w:b/>
                <w:bCs/>
                <w:sz w:val="24"/>
              </w:rPr>
              <w:t>熱、火花、裸火、高温のものから遠ざけること。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 w:rsidP="00C63AD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1114B1">
              <w:rPr>
                <w:rFonts w:hint="eastAsia"/>
                <w:b/>
                <w:bCs/>
                <w:spacing w:val="-6"/>
                <w:sz w:val="24"/>
              </w:rPr>
              <w:t>酸化剤並びに酸化性の強い物質との保管は避ける。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1114B1">
              <w:rPr>
                <w:rFonts w:hint="eastAsia"/>
                <w:b/>
                <w:bCs/>
                <w:sz w:val="24"/>
              </w:rPr>
              <w:t>湿気を避け、涼しい場所で密封して保管すること。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 w:rsidR="000B1B5C">
              <w:rPr>
                <w:rFonts w:hint="eastAsia"/>
                <w:b/>
                <w:bCs/>
                <w:sz w:val="24"/>
              </w:rPr>
              <w:t>他の容器に移し替えて保管しないこと。</w:t>
            </w:r>
          </w:p>
        </w:tc>
      </w:tr>
      <w:tr w:rsidR="00612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127E6" w:rsidRDefault="006127E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127E6" w:rsidRDefault="006127E6">
      <w:pPr>
        <w:spacing w:line="0" w:lineRule="atLeast"/>
        <w:rPr>
          <w:rFonts w:hint="eastAsia"/>
          <w:b/>
          <w:bCs/>
          <w:sz w:val="16"/>
        </w:rPr>
      </w:pPr>
    </w:p>
    <w:p w:rsidR="006127E6" w:rsidRDefault="00C97BD0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32.05pt;margin-top:.1pt;width:117pt;height:38.5pt;z-index:251659776" filled="f" stroked="f">
            <v:textbox>
              <w:txbxContent>
                <w:p w:rsidR="006127E6" w:rsidRDefault="006127E6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6127E6" w:rsidRDefault="00C97BD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6127E6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40FE" w:rsidRDefault="004B40FE" w:rsidP="00680BB0">
      <w:r>
        <w:separator/>
      </w:r>
    </w:p>
  </w:endnote>
  <w:endnote w:type="continuationSeparator" w:id="0">
    <w:p w:rsidR="004B40FE" w:rsidRDefault="004B40FE" w:rsidP="00680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40FE" w:rsidRDefault="004B40FE" w:rsidP="00680BB0">
      <w:r>
        <w:separator/>
      </w:r>
    </w:p>
  </w:footnote>
  <w:footnote w:type="continuationSeparator" w:id="0">
    <w:p w:rsidR="004B40FE" w:rsidRDefault="004B40FE" w:rsidP="00680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44204901">
    <w:abstractNumId w:val="8"/>
  </w:num>
  <w:num w:numId="2" w16cid:durableId="993797664">
    <w:abstractNumId w:val="4"/>
  </w:num>
  <w:num w:numId="3" w16cid:durableId="1432895457">
    <w:abstractNumId w:val="6"/>
  </w:num>
  <w:num w:numId="4" w16cid:durableId="1739862687">
    <w:abstractNumId w:val="0"/>
  </w:num>
  <w:num w:numId="5" w16cid:durableId="1167288205">
    <w:abstractNumId w:val="1"/>
  </w:num>
  <w:num w:numId="6" w16cid:durableId="1600716820">
    <w:abstractNumId w:val="2"/>
  </w:num>
  <w:num w:numId="7" w16cid:durableId="927229863">
    <w:abstractNumId w:val="7"/>
  </w:num>
  <w:num w:numId="8" w16cid:durableId="1279264483">
    <w:abstractNumId w:val="5"/>
  </w:num>
  <w:num w:numId="9" w16cid:durableId="1528371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03F6"/>
    <w:rsid w:val="000B1B5C"/>
    <w:rsid w:val="001114B1"/>
    <w:rsid w:val="00285692"/>
    <w:rsid w:val="004B40FE"/>
    <w:rsid w:val="006127E6"/>
    <w:rsid w:val="00680BB0"/>
    <w:rsid w:val="006D1652"/>
    <w:rsid w:val="00865BDB"/>
    <w:rsid w:val="0090016D"/>
    <w:rsid w:val="00C63ADC"/>
    <w:rsid w:val="00C97BD0"/>
    <w:rsid w:val="00ED2AE2"/>
    <w:rsid w:val="00F63211"/>
    <w:rsid w:val="00FC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1F240216-87E7-45B6-89BF-4B90C86B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680BB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80BB0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680BB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80BB0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