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6EEF" w:rsidRDefault="00566EEF">
      <w:pPr>
        <w:spacing w:line="0" w:lineRule="atLeast"/>
        <w:jc w:val="center"/>
        <w:rPr>
          <w:rFonts w:hint="eastAsia"/>
          <w:sz w:val="16"/>
        </w:rPr>
      </w:pPr>
      <w:r>
        <w:rPr>
          <w:noProof/>
          <w:sz w:val="20"/>
        </w:rPr>
        <w:pict>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566EEF" w:rsidRDefault="00566EEF">
      <w:pPr>
        <w:spacing w:line="0" w:lineRule="atLeast"/>
        <w:jc w:val="center"/>
        <w:rPr>
          <w:rFonts w:hint="eastAsia"/>
          <w:sz w:val="16"/>
        </w:rPr>
      </w:pPr>
    </w:p>
    <w:p w:rsidR="00566EEF" w:rsidRDefault="00566EEF">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566EEF" w:rsidRDefault="00566EEF">
                  <w:pPr>
                    <w:pStyle w:val="a4"/>
                    <w:rPr>
                      <w:rFonts w:hint="eastAsia"/>
                      <w:spacing w:val="-10"/>
                    </w:rPr>
                  </w:pPr>
                  <w:r>
                    <w:rPr>
                      <w:rFonts w:hint="eastAsia"/>
                      <w:spacing w:val="-10"/>
                    </w:rPr>
                    <w:t>社内用ＭＳＤＳ</w:t>
                  </w:r>
                </w:p>
              </w:txbxContent>
            </v:textbox>
          </v:rect>
        </w:pict>
      </w:r>
    </w:p>
    <w:p w:rsidR="00566EEF" w:rsidRDefault="00566EEF">
      <w:pPr>
        <w:spacing w:line="0" w:lineRule="atLeast"/>
        <w:rPr>
          <w:rFonts w:hint="eastAsia"/>
        </w:rPr>
      </w:pPr>
    </w:p>
    <w:p w:rsidR="00566EEF" w:rsidRDefault="00566EEF">
      <w:pPr>
        <w:spacing w:line="0" w:lineRule="atLeast"/>
        <w:jc w:val="center"/>
        <w:rPr>
          <w:rFonts w:hint="eastAsia"/>
        </w:rPr>
      </w:pPr>
      <w:r>
        <w:rPr>
          <w:rFonts w:hint="eastAsia"/>
          <w:sz w:val="16"/>
        </w:rPr>
        <w:t>製品名：ＰＡＣ</w:t>
      </w:r>
    </w:p>
    <w:p w:rsidR="00566EEF" w:rsidRDefault="00566EEF">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ＭＳ Ｐゴシック&quot;;font-weight:bold;v-text-reverse:t;v-text-kern:t" trim="t" fitpath="t" string="【PAC（ﾎﾟﾘ塩化ｱﾙﾐﾆｳﾑ】"/>
          </v:shape>
        </w:pict>
      </w:r>
    </w:p>
    <w:p w:rsidR="00566EEF" w:rsidRDefault="00566EEF">
      <w:pPr>
        <w:spacing w:line="0" w:lineRule="atLeast"/>
        <w:rPr>
          <w:rFonts w:hint="eastAsia"/>
        </w:rPr>
      </w:pPr>
    </w:p>
    <w:p w:rsidR="00566EEF" w:rsidRDefault="00566EEF">
      <w:pPr>
        <w:spacing w:line="0" w:lineRule="atLeast"/>
        <w:rPr>
          <w:rFonts w:hint="eastAsia"/>
        </w:rPr>
      </w:pPr>
    </w:p>
    <w:p w:rsidR="00566EEF" w:rsidRDefault="00566EEF">
      <w:pPr>
        <w:spacing w:line="0" w:lineRule="atLeast"/>
        <w:rPr>
          <w:rFonts w:hint="eastAsia"/>
        </w:rPr>
      </w:pPr>
    </w:p>
    <w:p w:rsidR="00566EEF" w:rsidRDefault="00566EEF">
      <w:pPr>
        <w:spacing w:line="0" w:lineRule="atLeast"/>
        <w:rPr>
          <w:rFonts w:hint="eastAsia"/>
        </w:rPr>
      </w:pPr>
    </w:p>
    <w:p w:rsidR="00566EEF" w:rsidRDefault="00566EEF">
      <w:pPr>
        <w:spacing w:line="0" w:lineRule="atLeast"/>
        <w:rPr>
          <w:rFonts w:hint="eastAsia"/>
          <w:b/>
          <w:bCs/>
          <w:sz w:val="24"/>
        </w:rPr>
      </w:pPr>
      <w:r>
        <w:rPr>
          <w:rFonts w:hint="eastAsia"/>
          <w:b/>
          <w:bCs/>
          <w:sz w:val="24"/>
        </w:rPr>
        <w:t>【適用法規等】</w:t>
      </w:r>
    </w:p>
    <w:p w:rsidR="00566EEF" w:rsidRDefault="00566EEF">
      <w:pPr>
        <w:spacing w:line="0" w:lineRule="atLeast"/>
        <w:ind w:firstLineChars="100" w:firstLine="241"/>
        <w:rPr>
          <w:rFonts w:hint="eastAsia"/>
          <w:b/>
          <w:bCs/>
          <w:sz w:val="24"/>
        </w:rPr>
      </w:pPr>
      <w:r>
        <w:rPr>
          <w:rFonts w:hint="eastAsia"/>
          <w:b/>
          <w:bCs/>
          <w:sz w:val="24"/>
        </w:rPr>
        <w:t>労働安全衛生法：通知対象物（アルミニウム水溶</w:t>
      </w:r>
      <w:r w:rsidR="002F4126">
        <w:rPr>
          <w:rFonts w:hint="eastAsia"/>
          <w:b/>
          <w:bCs/>
          <w:sz w:val="24"/>
        </w:rPr>
        <w:t>性</w:t>
      </w:r>
      <w:r>
        <w:rPr>
          <w:rFonts w:hint="eastAsia"/>
          <w:b/>
          <w:bCs/>
          <w:sz w:val="24"/>
        </w:rPr>
        <w:t>塩）</w:t>
      </w:r>
    </w:p>
    <w:p w:rsidR="002F4126" w:rsidRPr="002F4126" w:rsidRDefault="00566EEF" w:rsidP="002F4126">
      <w:pPr>
        <w:spacing w:line="0" w:lineRule="atLeast"/>
        <w:ind w:firstLineChars="100" w:firstLine="241"/>
        <w:rPr>
          <w:rFonts w:hint="eastAsia"/>
          <w:b/>
          <w:bCs/>
          <w:sz w:val="24"/>
        </w:rPr>
      </w:pPr>
      <w:r>
        <w:rPr>
          <w:rFonts w:hint="eastAsia"/>
          <w:b/>
          <w:bCs/>
          <w:sz w:val="24"/>
        </w:rPr>
        <w:t>海洋汚染防止法</w:t>
      </w:r>
      <w:r w:rsidR="002F4126">
        <w:rPr>
          <w:rFonts w:hint="eastAsia"/>
          <w:b/>
          <w:bCs/>
          <w:sz w:val="24"/>
        </w:rPr>
        <w:t>：有害物質（</w:t>
      </w:r>
      <w:r w:rsidR="002F4126">
        <w:rPr>
          <w:rFonts w:hint="eastAsia"/>
          <w:b/>
          <w:bCs/>
          <w:sz w:val="24"/>
        </w:rPr>
        <w:t>Z</w:t>
      </w:r>
      <w:r w:rsidR="002F4126">
        <w:rPr>
          <w:rFonts w:hint="eastAsia"/>
          <w:b/>
          <w:bCs/>
          <w:sz w:val="24"/>
        </w:rPr>
        <w:t>類№</w:t>
      </w:r>
      <w:r w:rsidR="002F4126">
        <w:rPr>
          <w:rFonts w:hint="eastAsia"/>
          <w:b/>
          <w:bCs/>
          <w:sz w:val="24"/>
        </w:rPr>
        <w:t>103</w:t>
      </w:r>
      <w:r w:rsidR="002F4126">
        <w:rPr>
          <w:rFonts w:hint="eastAsia"/>
          <w:b/>
          <w:bCs/>
          <w:sz w:val="24"/>
        </w:rPr>
        <w:t xml:space="preserve">　ﾎﾟﾘ塩化ｱﾙﾐﾆｳﾑ水溶性液）</w:t>
      </w:r>
    </w:p>
    <w:p w:rsidR="00A45821" w:rsidRDefault="00A45821">
      <w:pPr>
        <w:spacing w:line="0" w:lineRule="atLeast"/>
        <w:rPr>
          <w:rFonts w:hint="eastAsia"/>
          <w:b/>
          <w:bCs/>
          <w:sz w:val="24"/>
        </w:rPr>
      </w:pPr>
    </w:p>
    <w:p w:rsidR="00566EEF" w:rsidRDefault="00566EEF">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 xml:space="preserve">(1) </w:t>
            </w:r>
            <w:r>
              <w:rPr>
                <w:rFonts w:hint="eastAsia"/>
                <w:b/>
                <w:bCs/>
                <w:sz w:val="24"/>
              </w:rPr>
              <w:t>接触すると皮膚や目に炎症を起こすおそれがある。</w:t>
            </w:r>
          </w:p>
        </w:tc>
      </w:tr>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ind w:left="429" w:hangingChars="178" w:hanging="429"/>
              <w:rPr>
                <w:rFonts w:hint="eastAsia"/>
                <w:b/>
                <w:bCs/>
                <w:sz w:val="24"/>
              </w:rPr>
            </w:pPr>
            <w:r>
              <w:rPr>
                <w:rFonts w:hint="eastAsia"/>
                <w:b/>
                <w:bCs/>
                <w:sz w:val="24"/>
              </w:rPr>
              <w:t xml:space="preserve">(2) </w:t>
            </w:r>
            <w:r>
              <w:rPr>
                <w:rFonts w:hint="eastAsia"/>
                <w:b/>
                <w:bCs/>
                <w:sz w:val="24"/>
              </w:rPr>
              <w:t>飲込んだ場合，有害である。</w:t>
            </w:r>
          </w:p>
        </w:tc>
      </w:tr>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rPr>
                <w:rFonts w:hint="eastAsia"/>
                <w:b/>
                <w:bCs/>
                <w:spacing w:val="-6"/>
                <w:sz w:val="24"/>
              </w:rPr>
            </w:pPr>
            <w:r>
              <w:rPr>
                <w:rFonts w:hint="eastAsia"/>
                <w:b/>
                <w:bCs/>
                <w:spacing w:val="-6"/>
                <w:sz w:val="24"/>
              </w:rPr>
              <w:t xml:space="preserve">(3) </w:t>
            </w:r>
            <w:r>
              <w:rPr>
                <w:rFonts w:hint="eastAsia"/>
                <w:b/>
                <w:bCs/>
                <w:spacing w:val="-6"/>
                <w:sz w:val="24"/>
              </w:rPr>
              <w:t>火の中で分解すると有毒な蒸気を発生するおそれがある。</w:t>
            </w:r>
          </w:p>
        </w:tc>
      </w:tr>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rPr>
                <w:rFonts w:hint="eastAsia"/>
                <w:b/>
                <w:bCs/>
                <w:sz w:val="24"/>
              </w:rPr>
            </w:pPr>
          </w:p>
        </w:tc>
      </w:tr>
    </w:tbl>
    <w:p w:rsidR="00566EEF" w:rsidRDefault="00566EEF">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566EEF">
        <w:tblPrEx>
          <w:tblCellMar>
            <w:top w:w="0" w:type="dxa"/>
            <w:bottom w:w="0" w:type="dxa"/>
          </w:tblCellMar>
        </w:tblPrEx>
        <w:trPr>
          <w:cantSplit/>
        </w:trPr>
        <w:tc>
          <w:tcPr>
            <w:tcW w:w="2615"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566EEF" w:rsidRDefault="00566EE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66EEF" w:rsidRDefault="00566EEF">
            <w:pPr>
              <w:spacing w:line="0" w:lineRule="atLeast"/>
              <w:rPr>
                <w:rFonts w:hint="eastAsia"/>
                <w:b/>
                <w:bCs/>
                <w:spacing w:val="-4"/>
                <w:sz w:val="24"/>
              </w:rPr>
            </w:pPr>
            <w:r>
              <w:rPr>
                <w:rFonts w:hint="eastAsia"/>
                <w:b/>
                <w:bCs/>
                <w:spacing w:val="-4"/>
                <w:sz w:val="24"/>
              </w:rPr>
              <w:t>新鮮な空気の場所へ移し，必要に応じて医師の手当てを受ける。</w:t>
            </w:r>
          </w:p>
        </w:tc>
      </w:tr>
      <w:tr w:rsidR="00566EEF">
        <w:tblPrEx>
          <w:tblCellMar>
            <w:top w:w="0" w:type="dxa"/>
            <w:bottom w:w="0" w:type="dxa"/>
          </w:tblCellMar>
        </w:tblPrEx>
        <w:trPr>
          <w:cantSplit/>
        </w:trPr>
        <w:tc>
          <w:tcPr>
            <w:tcW w:w="2615"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566EEF" w:rsidRDefault="00566EE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水で洗浄する。</w:t>
            </w:r>
          </w:p>
        </w:tc>
      </w:tr>
      <w:tr w:rsidR="00566EEF">
        <w:tblPrEx>
          <w:tblCellMar>
            <w:top w:w="0" w:type="dxa"/>
            <w:bottom w:w="0" w:type="dxa"/>
          </w:tblCellMar>
        </w:tblPrEx>
        <w:trPr>
          <w:cantSplit/>
        </w:trPr>
        <w:tc>
          <w:tcPr>
            <w:tcW w:w="2615"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566EEF" w:rsidRDefault="00566EE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清浄な水で１５分以上洗浄し，必要に応じて医師の手当てを受ける。</w:t>
            </w:r>
          </w:p>
        </w:tc>
      </w:tr>
      <w:tr w:rsidR="00566EEF">
        <w:tblPrEx>
          <w:tblCellMar>
            <w:top w:w="0" w:type="dxa"/>
            <w:bottom w:w="0" w:type="dxa"/>
          </w:tblCellMar>
        </w:tblPrEx>
        <w:trPr>
          <w:cantSplit/>
        </w:trPr>
        <w:tc>
          <w:tcPr>
            <w:tcW w:w="2615"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566EEF" w:rsidRDefault="00566EE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水を大量に飲ませた後，直ちに医師の手当てを受ける。</w:t>
            </w:r>
          </w:p>
        </w:tc>
      </w:tr>
      <w:tr w:rsidR="00566EEF">
        <w:tblPrEx>
          <w:tblCellMar>
            <w:top w:w="0" w:type="dxa"/>
            <w:bottom w:w="0" w:type="dxa"/>
          </w:tblCellMar>
        </w:tblPrEx>
        <w:trPr>
          <w:cantSplit/>
        </w:trPr>
        <w:tc>
          <w:tcPr>
            <w:tcW w:w="2615" w:type="dxa"/>
            <w:tcBorders>
              <w:top w:val="nil"/>
              <w:left w:val="nil"/>
              <w:bottom w:val="nil"/>
              <w:right w:val="nil"/>
            </w:tcBorders>
          </w:tcPr>
          <w:p w:rsidR="00566EEF" w:rsidRDefault="00566EEF">
            <w:pPr>
              <w:spacing w:line="0" w:lineRule="atLeast"/>
              <w:rPr>
                <w:rFonts w:hint="eastAsia"/>
                <w:b/>
                <w:bCs/>
                <w:sz w:val="24"/>
              </w:rPr>
            </w:pPr>
          </w:p>
        </w:tc>
        <w:tc>
          <w:tcPr>
            <w:tcW w:w="218" w:type="dxa"/>
            <w:tcBorders>
              <w:top w:val="nil"/>
              <w:left w:val="nil"/>
              <w:bottom w:val="nil"/>
              <w:right w:val="nil"/>
            </w:tcBorders>
          </w:tcPr>
          <w:p w:rsidR="00566EEF" w:rsidRDefault="00566EEF">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66EEF" w:rsidRDefault="00566EEF">
            <w:pPr>
              <w:spacing w:line="0" w:lineRule="atLeast"/>
              <w:rPr>
                <w:rFonts w:hint="eastAsia"/>
                <w:b/>
                <w:bCs/>
                <w:sz w:val="24"/>
              </w:rPr>
            </w:pPr>
          </w:p>
        </w:tc>
      </w:tr>
    </w:tbl>
    <w:p w:rsidR="00566EEF" w:rsidRDefault="00566EEF">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566EEF">
        <w:tblPrEx>
          <w:tblCellMar>
            <w:top w:w="0" w:type="dxa"/>
            <w:bottom w:w="0" w:type="dxa"/>
          </w:tblCellMar>
        </w:tblPrEx>
        <w:trPr>
          <w:cantSplit/>
        </w:trPr>
        <w:tc>
          <w:tcPr>
            <w:tcW w:w="2615" w:type="dxa"/>
            <w:tcBorders>
              <w:top w:val="nil"/>
              <w:left w:val="nil"/>
              <w:bottom w:val="nil"/>
              <w:right w:val="nil"/>
            </w:tcBorders>
          </w:tcPr>
          <w:p w:rsidR="00566EEF" w:rsidRDefault="002F4126">
            <w:pPr>
              <w:spacing w:line="0" w:lineRule="atLeast"/>
              <w:rPr>
                <w:rFonts w:hint="eastAsia"/>
                <w:b/>
                <w:bCs/>
                <w:sz w:val="24"/>
              </w:rPr>
            </w:pPr>
            <w:r>
              <w:rPr>
                <w:rFonts w:hint="eastAsia"/>
                <w:b/>
                <w:bCs/>
                <w:sz w:val="24"/>
              </w:rPr>
              <w:t>(1)</w:t>
            </w:r>
            <w:r>
              <w:rPr>
                <w:rFonts w:hint="eastAsia"/>
                <w:b/>
                <w:bCs/>
                <w:sz w:val="24"/>
              </w:rPr>
              <w:t>消火剤</w:t>
            </w:r>
          </w:p>
        </w:tc>
        <w:tc>
          <w:tcPr>
            <w:tcW w:w="218" w:type="dxa"/>
            <w:tcBorders>
              <w:top w:val="nil"/>
              <w:left w:val="nil"/>
              <w:bottom w:val="nil"/>
              <w:right w:val="nil"/>
            </w:tcBorders>
          </w:tcPr>
          <w:p w:rsidR="00566EEF" w:rsidRDefault="002F4126">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66EEF" w:rsidRDefault="002F4126">
            <w:pPr>
              <w:spacing w:line="0" w:lineRule="atLeast"/>
              <w:rPr>
                <w:rFonts w:hint="eastAsia"/>
                <w:b/>
                <w:bCs/>
                <w:spacing w:val="-4"/>
                <w:sz w:val="24"/>
              </w:rPr>
            </w:pPr>
            <w:r>
              <w:rPr>
                <w:rFonts w:hint="eastAsia"/>
                <w:b/>
                <w:bCs/>
                <w:spacing w:val="-4"/>
                <w:sz w:val="24"/>
              </w:rPr>
              <w:t>この製品自体は不燃性。周辺火災に応じて適切な消火剤を用いる。</w:t>
            </w:r>
          </w:p>
        </w:tc>
      </w:tr>
      <w:tr w:rsidR="00566EEF">
        <w:tblPrEx>
          <w:tblCellMar>
            <w:top w:w="0" w:type="dxa"/>
            <w:bottom w:w="0" w:type="dxa"/>
          </w:tblCellMar>
        </w:tblPrEx>
        <w:trPr>
          <w:cantSplit/>
        </w:trPr>
        <w:tc>
          <w:tcPr>
            <w:tcW w:w="2615" w:type="dxa"/>
            <w:tcBorders>
              <w:top w:val="nil"/>
              <w:left w:val="nil"/>
              <w:bottom w:val="nil"/>
              <w:right w:val="nil"/>
            </w:tcBorders>
          </w:tcPr>
          <w:p w:rsidR="00566EEF" w:rsidRDefault="00A45821">
            <w:pPr>
              <w:spacing w:line="0" w:lineRule="atLeast"/>
              <w:rPr>
                <w:rFonts w:hint="eastAsia"/>
                <w:b/>
                <w:bCs/>
                <w:sz w:val="24"/>
              </w:rPr>
            </w:pPr>
            <w:r>
              <w:rPr>
                <w:rFonts w:hint="eastAsia"/>
                <w:b/>
                <w:bCs/>
                <w:sz w:val="24"/>
              </w:rPr>
              <w:t>(2)</w:t>
            </w:r>
            <w:r>
              <w:rPr>
                <w:rFonts w:hint="eastAsia"/>
                <w:b/>
                <w:bCs/>
                <w:sz w:val="24"/>
              </w:rPr>
              <w:t>消火を行う者の保護</w:t>
            </w:r>
          </w:p>
        </w:tc>
        <w:tc>
          <w:tcPr>
            <w:tcW w:w="218" w:type="dxa"/>
            <w:tcBorders>
              <w:top w:val="nil"/>
              <w:left w:val="nil"/>
              <w:bottom w:val="nil"/>
              <w:right w:val="nil"/>
            </w:tcBorders>
          </w:tcPr>
          <w:p w:rsidR="00566EEF" w:rsidRDefault="00A45821">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566EEF" w:rsidRDefault="00A45821">
            <w:pPr>
              <w:spacing w:line="0" w:lineRule="atLeast"/>
              <w:rPr>
                <w:rFonts w:hint="eastAsia"/>
                <w:b/>
                <w:bCs/>
                <w:sz w:val="24"/>
              </w:rPr>
            </w:pPr>
            <w:r>
              <w:rPr>
                <w:rFonts w:hint="eastAsia"/>
                <w:b/>
                <w:bCs/>
                <w:sz w:val="24"/>
              </w:rPr>
              <w:t>高温で分解する際、塩化水素ガスを発生する。消火の際は、周辺火災に応じて適切な空気呼吸器、化学用保護衣を着用する。</w:t>
            </w:r>
          </w:p>
        </w:tc>
      </w:tr>
    </w:tbl>
    <w:p w:rsidR="00A45821" w:rsidRDefault="00A45821">
      <w:pPr>
        <w:spacing w:line="0" w:lineRule="atLeast"/>
        <w:rPr>
          <w:rFonts w:hint="eastAsia"/>
          <w:b/>
          <w:bCs/>
          <w:sz w:val="24"/>
        </w:rPr>
      </w:pPr>
    </w:p>
    <w:p w:rsidR="00566EEF" w:rsidRDefault="00566EEF">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 xml:space="preserve">(1) </w:t>
            </w:r>
            <w:r>
              <w:rPr>
                <w:rFonts w:hint="eastAsia"/>
                <w:b/>
                <w:bCs/>
                <w:sz w:val="24"/>
              </w:rPr>
              <w:t>漏洩を防止する。</w:t>
            </w:r>
          </w:p>
        </w:tc>
      </w:tr>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ind w:left="429" w:hangingChars="178" w:hanging="429"/>
              <w:rPr>
                <w:rFonts w:hint="eastAsia"/>
                <w:b/>
                <w:bCs/>
                <w:sz w:val="24"/>
              </w:rPr>
            </w:pPr>
            <w:r>
              <w:rPr>
                <w:rFonts w:hint="eastAsia"/>
                <w:b/>
                <w:bCs/>
                <w:sz w:val="24"/>
              </w:rPr>
              <w:t xml:space="preserve">(2) </w:t>
            </w:r>
            <w:r>
              <w:rPr>
                <w:rFonts w:hint="eastAsia"/>
                <w:b/>
                <w:bCs/>
                <w:sz w:val="24"/>
              </w:rPr>
              <w:t>他の容器へ移し替えるときは，必ず十分に洗浄する。</w:t>
            </w:r>
          </w:p>
        </w:tc>
      </w:tr>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rPr>
                <w:rFonts w:hint="eastAsia"/>
                <w:b/>
                <w:bCs/>
                <w:spacing w:val="-6"/>
                <w:sz w:val="24"/>
              </w:rPr>
            </w:pPr>
            <w:r>
              <w:rPr>
                <w:rFonts w:hint="eastAsia"/>
                <w:b/>
                <w:bCs/>
                <w:spacing w:val="-6"/>
                <w:sz w:val="24"/>
              </w:rPr>
              <w:t xml:space="preserve">(3) </w:t>
            </w:r>
            <w:r>
              <w:rPr>
                <w:rFonts w:hint="eastAsia"/>
                <w:b/>
                <w:bCs/>
                <w:spacing w:val="-6"/>
                <w:sz w:val="24"/>
              </w:rPr>
              <w:t>接触，吸入を防ぐため，保護具を着用する。</w:t>
            </w:r>
          </w:p>
        </w:tc>
      </w:tr>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rPr>
                <w:rFonts w:hint="eastAsia"/>
                <w:b/>
                <w:bCs/>
                <w:sz w:val="24"/>
              </w:rPr>
            </w:pPr>
          </w:p>
        </w:tc>
      </w:tr>
    </w:tbl>
    <w:p w:rsidR="00566EEF" w:rsidRDefault="00566EEF">
      <w:pPr>
        <w:spacing w:line="0" w:lineRule="atLeast"/>
        <w:rPr>
          <w:rFonts w:hint="eastAsia"/>
          <w:b/>
          <w:bCs/>
          <w:sz w:val="24"/>
        </w:rPr>
      </w:pPr>
      <w:r>
        <w:rPr>
          <w:rFonts w:hint="eastAsia"/>
          <w:b/>
          <w:bCs/>
          <w:sz w:val="24"/>
        </w:rPr>
        <w:t>【保管上の注意】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rPr>
                <w:rFonts w:hint="eastAsia"/>
                <w:b/>
                <w:bCs/>
                <w:sz w:val="24"/>
              </w:rPr>
            </w:pPr>
            <w:r>
              <w:rPr>
                <w:rFonts w:hint="eastAsia"/>
                <w:b/>
                <w:bCs/>
                <w:sz w:val="24"/>
              </w:rPr>
              <w:t xml:space="preserve">(1) </w:t>
            </w:r>
            <w:r>
              <w:rPr>
                <w:rFonts w:hint="eastAsia"/>
                <w:b/>
                <w:bCs/>
                <w:sz w:val="24"/>
              </w:rPr>
              <w:t>直射日光を避け，高温物を近づけないようにして保管する。</w:t>
            </w:r>
          </w:p>
        </w:tc>
      </w:tr>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ind w:left="429" w:hangingChars="178" w:hanging="429"/>
              <w:rPr>
                <w:rFonts w:hint="eastAsia"/>
                <w:b/>
                <w:bCs/>
                <w:sz w:val="24"/>
              </w:rPr>
            </w:pPr>
            <w:r>
              <w:rPr>
                <w:rFonts w:hint="eastAsia"/>
                <w:b/>
                <w:bCs/>
                <w:sz w:val="24"/>
              </w:rPr>
              <w:t xml:space="preserve">(2) </w:t>
            </w:r>
            <w:r>
              <w:rPr>
                <w:rFonts w:hint="eastAsia"/>
                <w:b/>
                <w:bCs/>
                <w:sz w:val="24"/>
              </w:rPr>
              <w:t>冬期の気温が低い場所では結晶が析出することがあるため，保温が必要。</w:t>
            </w:r>
          </w:p>
        </w:tc>
      </w:tr>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ind w:left="458" w:hangingChars="200" w:hanging="458"/>
              <w:rPr>
                <w:rFonts w:hint="eastAsia"/>
                <w:b/>
                <w:bCs/>
                <w:spacing w:val="-6"/>
                <w:sz w:val="24"/>
              </w:rPr>
            </w:pPr>
            <w:r>
              <w:rPr>
                <w:rFonts w:hint="eastAsia"/>
                <w:b/>
                <w:bCs/>
                <w:spacing w:val="-6"/>
                <w:sz w:val="24"/>
              </w:rPr>
              <w:t>(3)  SUS316</w:t>
            </w:r>
            <w:r>
              <w:rPr>
                <w:rFonts w:hint="eastAsia"/>
                <w:b/>
                <w:bCs/>
                <w:spacing w:val="-6"/>
                <w:sz w:val="24"/>
              </w:rPr>
              <w:t>以上のステンレススチール，塩化ビニール，ポリエチレン，ＦＲＰ，ゴムライニング容器等必要な強度をもった耐酸性の容器に保管する。</w:t>
            </w:r>
          </w:p>
        </w:tc>
      </w:tr>
      <w:tr w:rsidR="00566EEF">
        <w:tblPrEx>
          <w:tblCellMar>
            <w:top w:w="0" w:type="dxa"/>
            <w:bottom w:w="0" w:type="dxa"/>
          </w:tblCellMar>
        </w:tblPrEx>
        <w:trPr>
          <w:cantSplit/>
        </w:trPr>
        <w:tc>
          <w:tcPr>
            <w:tcW w:w="10620" w:type="dxa"/>
            <w:tcBorders>
              <w:top w:val="nil"/>
              <w:left w:val="nil"/>
              <w:bottom w:val="nil"/>
              <w:right w:val="nil"/>
            </w:tcBorders>
          </w:tcPr>
          <w:p w:rsidR="00566EEF" w:rsidRDefault="00566EEF">
            <w:pPr>
              <w:spacing w:line="0" w:lineRule="atLeast"/>
              <w:rPr>
                <w:rFonts w:hint="eastAsia"/>
                <w:b/>
                <w:bCs/>
                <w:sz w:val="24"/>
              </w:rPr>
            </w:pPr>
          </w:p>
        </w:tc>
      </w:tr>
    </w:tbl>
    <w:p w:rsidR="00566EEF" w:rsidRDefault="00566EEF">
      <w:pPr>
        <w:spacing w:line="0" w:lineRule="atLeast"/>
        <w:rPr>
          <w:rFonts w:hint="eastAsia"/>
          <w:b/>
          <w:bCs/>
          <w:sz w:val="16"/>
        </w:rPr>
      </w:pPr>
    </w:p>
    <w:p w:rsidR="00566EEF" w:rsidRDefault="00566EEF">
      <w:pPr>
        <w:pStyle w:val="a3"/>
        <w:spacing w:line="0" w:lineRule="atLeast"/>
        <w:jc w:val="right"/>
        <w:rPr>
          <w:rFonts w:hint="eastAsia"/>
          <w:b/>
          <w:bCs/>
          <w:sz w:val="22"/>
        </w:rPr>
      </w:pPr>
    </w:p>
    <w:p w:rsidR="00566EEF" w:rsidRDefault="00566EEF">
      <w:pPr>
        <w:pStyle w:val="a3"/>
        <w:spacing w:line="0" w:lineRule="atLeast"/>
        <w:rPr>
          <w:rFonts w:hint="eastAsia"/>
          <w:b/>
          <w:bCs/>
          <w:sz w:val="40"/>
          <w:u w:val="single"/>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14pt;margin-top:1.85pt;width:113.4pt;height:113.4pt;z-index:-251657728;mso-wrap-edited:f" wrapcoords="-127 0 -127 21473 21600 21473 21600 0 -127 0">
            <v:imagedata r:id="rId7" o:title=""/>
            <o:lock v:ext="edit" aspectratio="f"/>
          </v:shape>
        </w:pict>
      </w:r>
    </w:p>
    <w:p w:rsidR="00566EEF" w:rsidRDefault="00566EEF">
      <w:pPr>
        <w:rPr>
          <w:rFonts w:hint="eastAsia"/>
          <w:sz w:val="22"/>
        </w:rPr>
      </w:pPr>
    </w:p>
    <w:p w:rsidR="00566EEF" w:rsidRDefault="00566EEF">
      <w:pPr>
        <w:rPr>
          <w:rFonts w:hint="eastAsia"/>
          <w:sz w:val="3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414pt;margin-top:92.2pt;width:117pt;height:38.5pt;z-index:251659776" filled="f" stroked="f">
            <v:textbox>
              <w:txbxContent>
                <w:p w:rsidR="00566EEF" w:rsidRDefault="00566EEF">
                  <w:pPr>
                    <w:jc w:val="center"/>
                    <w:rPr>
                      <w:rFonts w:hint="eastAsia"/>
                    </w:rPr>
                  </w:pPr>
                  <w:r>
                    <w:rPr>
                      <w:rFonts w:hint="eastAsia"/>
                    </w:rPr>
                    <w:t>㈱東和製作所</w:t>
                  </w:r>
                </w:p>
                <w:p w:rsidR="00566EEF" w:rsidRDefault="00A45821">
                  <w:pPr>
                    <w:jc w:val="center"/>
                    <w:rPr>
                      <w:rFonts w:hint="eastAsia"/>
                    </w:rPr>
                  </w:pPr>
                  <w:r>
                    <w:rPr>
                      <w:rFonts w:hint="eastAsia"/>
                    </w:rPr>
                    <w:t>安全衛生委員会</w:t>
                  </w:r>
                </w:p>
              </w:txbxContent>
            </v:textbox>
          </v:shape>
        </w:pict>
      </w:r>
    </w:p>
    <w:sectPr w:rsidR="00566EEF">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573" w:rsidRDefault="00E30573" w:rsidP="004732C4">
      <w:r>
        <w:separator/>
      </w:r>
    </w:p>
  </w:endnote>
  <w:endnote w:type="continuationSeparator" w:id="0">
    <w:p w:rsidR="00E30573" w:rsidRDefault="00E30573" w:rsidP="00473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573" w:rsidRDefault="00E30573" w:rsidP="004732C4">
      <w:r>
        <w:separator/>
      </w:r>
    </w:p>
  </w:footnote>
  <w:footnote w:type="continuationSeparator" w:id="0">
    <w:p w:rsidR="00E30573" w:rsidRDefault="00E30573" w:rsidP="004732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335114122">
    <w:abstractNumId w:val="8"/>
  </w:num>
  <w:num w:numId="2" w16cid:durableId="812218404">
    <w:abstractNumId w:val="4"/>
  </w:num>
  <w:num w:numId="3" w16cid:durableId="1088847859">
    <w:abstractNumId w:val="6"/>
  </w:num>
  <w:num w:numId="4" w16cid:durableId="1712609160">
    <w:abstractNumId w:val="0"/>
  </w:num>
  <w:num w:numId="5" w16cid:durableId="1249190118">
    <w:abstractNumId w:val="1"/>
  </w:num>
  <w:num w:numId="6" w16cid:durableId="1436366269">
    <w:abstractNumId w:val="2"/>
  </w:num>
  <w:num w:numId="7" w16cid:durableId="1323508461">
    <w:abstractNumId w:val="7"/>
  </w:num>
  <w:num w:numId="8" w16cid:durableId="638845207">
    <w:abstractNumId w:val="5"/>
  </w:num>
  <w:num w:numId="9" w16cid:durableId="2090954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7B3A"/>
    <w:rsid w:val="00267B3A"/>
    <w:rsid w:val="002F4126"/>
    <w:rsid w:val="004732C4"/>
    <w:rsid w:val="00566EEF"/>
    <w:rsid w:val="00A45821"/>
    <w:rsid w:val="00E305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C5966D48-E0F2-4C3D-A888-E580E6655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4732C4"/>
    <w:pPr>
      <w:tabs>
        <w:tab w:val="center" w:pos="4252"/>
        <w:tab w:val="right" w:pos="8504"/>
      </w:tabs>
      <w:snapToGrid w:val="0"/>
    </w:pPr>
  </w:style>
  <w:style w:type="character" w:customStyle="1" w:styleId="a6">
    <w:name w:val="ヘッダー (文字)"/>
    <w:basedOn w:val="a0"/>
    <w:link w:val="a5"/>
    <w:uiPriority w:val="99"/>
    <w:rsid w:val="004732C4"/>
    <w:rPr>
      <w:rFonts w:eastAsia="HG丸ｺﾞｼｯｸM-PRO"/>
      <w:kern w:val="2"/>
      <w:sz w:val="21"/>
      <w:szCs w:val="24"/>
    </w:rPr>
  </w:style>
  <w:style w:type="paragraph" w:styleId="a7">
    <w:name w:val="footer"/>
    <w:basedOn w:val="a"/>
    <w:link w:val="a8"/>
    <w:uiPriority w:val="99"/>
    <w:unhideWhenUsed/>
    <w:rsid w:val="004732C4"/>
    <w:pPr>
      <w:tabs>
        <w:tab w:val="center" w:pos="4252"/>
        <w:tab w:val="right" w:pos="8504"/>
      </w:tabs>
      <w:snapToGrid w:val="0"/>
    </w:pPr>
  </w:style>
  <w:style w:type="character" w:customStyle="1" w:styleId="a8">
    <w:name w:val="フッター (文字)"/>
    <w:basedOn w:val="a0"/>
    <w:link w:val="a7"/>
    <w:uiPriority w:val="99"/>
    <w:rsid w:val="004732C4"/>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614</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