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877" w:rsidRDefault="006E187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E1877" w:rsidRDefault="006E1877">
      <w:pPr>
        <w:spacing w:line="0" w:lineRule="atLeast"/>
        <w:jc w:val="center"/>
        <w:rPr>
          <w:rFonts w:hint="eastAsia"/>
          <w:sz w:val="16"/>
        </w:rPr>
      </w:pPr>
    </w:p>
    <w:p w:rsidR="006E1877" w:rsidRDefault="006E187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E1877" w:rsidRDefault="006E187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AC1942">
        <w:rPr>
          <w:rFonts w:hint="eastAsia"/>
          <w:sz w:val="16"/>
        </w:rPr>
        <w:t>ﾐｽﾐ・ﾊﾟｰﾂｸﾘｰﾅｰ</w:t>
      </w:r>
    </w:p>
    <w:p w:rsidR="006E1877" w:rsidRDefault="006E187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ﾐｽﾐ・ﾊﾟｰﾂｸﾘｰﾅｰ】"/>
          </v:shape>
        </w:pict>
      </w: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</w:rPr>
      </w:pPr>
    </w:p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AC1942">
        <w:rPr>
          <w:rFonts w:hint="eastAsia"/>
          <w:b/>
          <w:bCs/>
          <w:sz w:val="24"/>
        </w:rPr>
        <w:t>危険物第</w:t>
      </w:r>
      <w:r w:rsidR="00AC1942">
        <w:rPr>
          <w:rFonts w:hint="eastAsia"/>
          <w:b/>
          <w:bCs/>
          <w:sz w:val="24"/>
        </w:rPr>
        <w:t>4</w:t>
      </w:r>
      <w:r w:rsidR="00AC1942">
        <w:rPr>
          <w:rFonts w:hint="eastAsia"/>
          <w:b/>
          <w:bCs/>
          <w:sz w:val="24"/>
        </w:rPr>
        <w:t>類第一石油類　非水溶性液体　危険等級Ⅱ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AC1942">
        <w:rPr>
          <w:rFonts w:hint="eastAsia"/>
          <w:b/>
          <w:bCs/>
          <w:sz w:val="24"/>
        </w:rPr>
        <w:t>通知対象有害物</w:t>
      </w:r>
    </w:p>
    <w:p w:rsidR="00AC1942" w:rsidRPr="00AC1942" w:rsidRDefault="00AC194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：第一種指定物質　ﾉﾙﾏﾙﾍｷｻﾝ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</w:t>
      </w:r>
      <w:r w:rsidR="00AC1942">
        <w:rPr>
          <w:rFonts w:hint="eastAsia"/>
          <w:b/>
          <w:bCs/>
          <w:sz w:val="24"/>
        </w:rPr>
        <w:t>油分排出規制　ﾉﾙﾏﾙﾍｷｻﾝ抽出分</w:t>
      </w:r>
    </w:p>
    <w:p w:rsidR="006E1877" w:rsidRDefault="00AC194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船舶安全法、航空法：引火性液体</w:t>
      </w:r>
    </w:p>
    <w:p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</w:p>
    <w:p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D87318">
              <w:rPr>
                <w:rFonts w:hint="eastAsia"/>
                <w:b/>
                <w:bCs/>
                <w:sz w:val="24"/>
              </w:rPr>
              <w:t>極めて高い可燃性引火性の高いエアゾール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D87318">
              <w:rPr>
                <w:rFonts w:hint="eastAsia"/>
                <w:b/>
                <w:bCs/>
                <w:sz w:val="24"/>
              </w:rPr>
              <w:t>皮膚や眼に強い刺激を与える恐れがある。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D87318">
              <w:rPr>
                <w:rFonts w:hint="eastAsia"/>
                <w:b/>
                <w:bCs/>
                <w:spacing w:val="-6"/>
                <w:sz w:val="24"/>
              </w:rPr>
              <w:t>呼吸器への刺激、眠気又はめまいの恐れ、吸入により臓器に障害を引き起こす恐れがある。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E15A09">
              <w:rPr>
                <w:rFonts w:hint="eastAsia"/>
                <w:b/>
                <w:bCs/>
                <w:sz w:val="24"/>
              </w:rPr>
              <w:t>誤飲すると、生命に危険の恐れがある。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新鮮な空気の場所に移し、安静、保温し、必要に応じて医師の手当を受ける。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汚染した衣服を脱ぎ、触れた部位を多量の水で洗い流す。炎症があれば医師の手当を受ける。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分以上洗眼した後、医師の手当を受ける。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無理に吐かせない。コップ１～２杯の水を飲ませ、速やかに医師の手当を受ける。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嘔吐した場合は気道に吸入しないよう、体を傾ける。</w:t>
            </w:r>
          </w:p>
        </w:tc>
      </w:tr>
    </w:tbl>
    <w:p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E15A09" w:rsidRDefault="00E15A0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初期火災には粉末、炭酸ガス消火剤を用いる。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大規模火災には泡消火剤を用いる。棒状の水は使用してはいけない。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火元への燃焼源を断ち、周囲の設備等に散水し冷却する。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高温にさらされる製品容器に水をかけて冷却する。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E15A0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消火作業は風上から行い、必ず保護具を着用すること。</w:t>
            </w: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B16E2D">
              <w:rPr>
                <w:rFonts w:hint="eastAsia"/>
                <w:b/>
                <w:bCs/>
                <w:sz w:val="24"/>
              </w:rPr>
              <w:t>指定数量以上の量を取り扱う際は、基準に適合する取扱所で行う。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B16E2D">
              <w:rPr>
                <w:rFonts w:hint="eastAsia"/>
                <w:b/>
                <w:bCs/>
                <w:sz w:val="24"/>
              </w:rPr>
              <w:t>炎、火花又は高温体との接触を避け、みだりに蒸気を発散させない。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B16E2D">
              <w:rPr>
                <w:rFonts w:hint="eastAsia"/>
                <w:b/>
                <w:bCs/>
                <w:spacing w:val="-6"/>
                <w:sz w:val="24"/>
              </w:rPr>
              <w:t>静電気対策を行う。作業衣、靴等も導電性の物を用いる。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B16E2D"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B16E2D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6.85pt;margin-top:8.9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ミストが発生する場合は、呼吸器具等を使用してミストを吸入しない。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B16E2D">
              <w:rPr>
                <w:rFonts w:hint="eastAsia"/>
                <w:b/>
                <w:bCs/>
                <w:sz w:val="24"/>
              </w:rPr>
              <w:t>直射日光を避け、換気の良い場所に保管し、密閉して空気との接触を避ける。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B16E2D">
              <w:rPr>
                <w:rFonts w:hint="eastAsia"/>
                <w:b/>
                <w:bCs/>
                <w:sz w:val="24"/>
              </w:rPr>
              <w:t>40</w:t>
            </w:r>
            <w:r w:rsidR="00B16E2D">
              <w:rPr>
                <w:rFonts w:hint="eastAsia"/>
                <w:b/>
                <w:bCs/>
                <w:sz w:val="24"/>
              </w:rPr>
              <w:t>℃以上になるところには保管しないこと。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B16E2D">
              <w:rPr>
                <w:rFonts w:hint="eastAsia"/>
                <w:b/>
                <w:bCs/>
                <w:spacing w:val="-6"/>
                <w:sz w:val="24"/>
              </w:rPr>
              <w:t>保管場所で使用する電気器具は防爆構造とし、器具類は接地する。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B16E2D">
              <w:rPr>
                <w:rFonts w:hint="eastAsia"/>
                <w:b/>
                <w:bCs/>
                <w:sz w:val="24"/>
              </w:rPr>
              <w:t>熱、スパーク、火炎並びに静電気蓄積を避ける。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B16E2D"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ハロゲン類、強酸類、アルカリ類、酸化性物質との接触並びに同一場所での保管は避ける。</w:t>
            </w:r>
          </w:p>
        </w:tc>
      </w:tr>
      <w:tr w:rsidR="006E18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B16E2D">
              <w:rPr>
                <w:rFonts w:hint="eastAsia"/>
                <w:b/>
                <w:bCs/>
                <w:sz w:val="24"/>
              </w:rPr>
              <w:t>容器は、溶接、加熱、穴あけ又は切断しない。</w:t>
            </w:r>
          </w:p>
        </w:tc>
      </w:tr>
    </w:tbl>
    <w:p w:rsidR="006E1877" w:rsidRDefault="00B16E2D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6.5pt;margin-top:94.45pt;width:117pt;height:38.5pt;z-index:251659776;mso-position-horizontal-relative:text;mso-position-vertical-relative:text" filled="f" stroked="f">
            <v:textbox>
              <w:txbxContent>
                <w:p w:rsidR="006E1877" w:rsidRDefault="006E18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E1877" w:rsidRDefault="001514C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6E1877" w:rsidRDefault="006E1877">
      <w:pPr>
        <w:rPr>
          <w:rFonts w:hint="eastAsia"/>
          <w:sz w:val="36"/>
        </w:rPr>
      </w:pPr>
    </w:p>
    <w:sectPr w:rsidR="006E187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52CE" w:rsidRDefault="003952CE" w:rsidP="00F15A92">
      <w:r>
        <w:separator/>
      </w:r>
    </w:p>
  </w:endnote>
  <w:endnote w:type="continuationSeparator" w:id="0">
    <w:p w:rsidR="003952CE" w:rsidRDefault="003952CE" w:rsidP="00F15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52CE" w:rsidRDefault="003952CE" w:rsidP="00F15A92">
      <w:r>
        <w:separator/>
      </w:r>
    </w:p>
  </w:footnote>
  <w:footnote w:type="continuationSeparator" w:id="0">
    <w:p w:rsidR="003952CE" w:rsidRDefault="003952CE" w:rsidP="00F15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538934976">
    <w:abstractNumId w:val="8"/>
  </w:num>
  <w:num w:numId="2" w16cid:durableId="1758137026">
    <w:abstractNumId w:val="4"/>
  </w:num>
  <w:num w:numId="3" w16cid:durableId="1945918720">
    <w:abstractNumId w:val="6"/>
  </w:num>
  <w:num w:numId="4" w16cid:durableId="516308341">
    <w:abstractNumId w:val="0"/>
  </w:num>
  <w:num w:numId="5" w16cid:durableId="1756632306">
    <w:abstractNumId w:val="1"/>
  </w:num>
  <w:num w:numId="6" w16cid:durableId="1261260376">
    <w:abstractNumId w:val="2"/>
  </w:num>
  <w:num w:numId="7" w16cid:durableId="1223247989">
    <w:abstractNumId w:val="7"/>
  </w:num>
  <w:num w:numId="8" w16cid:durableId="114106209">
    <w:abstractNumId w:val="5"/>
  </w:num>
  <w:num w:numId="9" w16cid:durableId="131562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4C8"/>
    <w:rsid w:val="001514C8"/>
    <w:rsid w:val="003952CE"/>
    <w:rsid w:val="006E1877"/>
    <w:rsid w:val="00AC1942"/>
    <w:rsid w:val="00AE6210"/>
    <w:rsid w:val="00B16E2D"/>
    <w:rsid w:val="00D87318"/>
    <w:rsid w:val="00E15A09"/>
    <w:rsid w:val="00F1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4FBD4862-9A62-422A-AC83-86B96057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F15A9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15A92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F15A9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15A92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