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2557" w:rsidRDefault="000A2557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0A2557" w:rsidRDefault="000A2557">
      <w:pPr>
        <w:spacing w:line="0" w:lineRule="atLeast"/>
        <w:jc w:val="center"/>
        <w:rPr>
          <w:rFonts w:hint="eastAsia"/>
          <w:sz w:val="16"/>
        </w:rPr>
      </w:pPr>
    </w:p>
    <w:p w:rsidR="000A2557" w:rsidRDefault="000A2557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0A2557" w:rsidRDefault="000A2557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0A2557" w:rsidRDefault="000A2557">
      <w:pPr>
        <w:spacing w:line="0" w:lineRule="atLeast"/>
        <w:rPr>
          <w:rFonts w:hint="eastAsia"/>
        </w:rPr>
      </w:pPr>
    </w:p>
    <w:p w:rsidR="000A2557" w:rsidRDefault="000A2557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製品名：ユシロンカットアーバスＫＺ</w:t>
      </w:r>
      <w:r>
        <w:rPr>
          <w:rFonts w:hint="eastAsia"/>
          <w:sz w:val="16"/>
        </w:rPr>
        <w:t>835</w:t>
      </w:r>
    </w:p>
    <w:p w:rsidR="000A2557" w:rsidRDefault="000A2557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ﾕｼﾛﾝｶｯﾄｱｰﾊﾞｽKZ835】"/>
          </v:shape>
        </w:pict>
      </w:r>
    </w:p>
    <w:p w:rsidR="000A2557" w:rsidRDefault="000A2557">
      <w:pPr>
        <w:spacing w:line="0" w:lineRule="atLeast"/>
        <w:rPr>
          <w:rFonts w:hint="eastAsia"/>
        </w:rPr>
      </w:pPr>
    </w:p>
    <w:p w:rsidR="000A2557" w:rsidRDefault="000A2557">
      <w:pPr>
        <w:spacing w:line="0" w:lineRule="atLeast"/>
        <w:rPr>
          <w:rFonts w:hint="eastAsia"/>
        </w:rPr>
      </w:pPr>
    </w:p>
    <w:p w:rsidR="000A2557" w:rsidRDefault="000A2557">
      <w:pPr>
        <w:spacing w:line="0" w:lineRule="atLeast"/>
        <w:rPr>
          <w:rFonts w:hint="eastAsia"/>
        </w:rPr>
      </w:pPr>
    </w:p>
    <w:p w:rsidR="000A2557" w:rsidRDefault="000A2557">
      <w:pPr>
        <w:spacing w:line="0" w:lineRule="atLeast"/>
        <w:rPr>
          <w:rFonts w:hint="eastAsia"/>
        </w:rPr>
      </w:pPr>
    </w:p>
    <w:p w:rsidR="000A2557" w:rsidRDefault="000A255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0A2557" w:rsidRDefault="000A255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：危険物第４類第３石油類（非水溶性）</w:t>
      </w:r>
    </w:p>
    <w:p w:rsidR="000A2557" w:rsidRDefault="000A255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労働安全衛生法：通知物質含有</w:t>
      </w:r>
    </w:p>
    <w:p w:rsidR="000A2557" w:rsidRDefault="000A255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　ノルマルヘキサン抽出物として検出</w:t>
      </w:r>
    </w:p>
    <w:p w:rsidR="000A2557" w:rsidRDefault="000A255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0A2557" w:rsidRDefault="000A255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廃棄物の処理及び清掃に関する法律：産業廃棄物規制（拡散、流出の禁止）</w:t>
      </w:r>
    </w:p>
    <w:p w:rsidR="000A2557" w:rsidRDefault="000A255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皮膚や眼に刺激がある恐れがある。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吸入すると有害な恐れがある。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長期又は反復曝露により肺に障害が起こる恐れがある。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遺伝性疾患または肺に障害が起こる恐れがある。</w:t>
            </w:r>
          </w:p>
        </w:tc>
      </w:tr>
    </w:tbl>
    <w:p w:rsidR="000A2557" w:rsidRDefault="000A255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新鮮な空気の場所へ移動し、呼吸しやすい姿勢で休息させる。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多量の水と石鹸で洗う。汚染された衣類は脱ぐ。</w:t>
            </w:r>
          </w:p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刺激がある場合は医師の手当てを受ける。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水で数分間洗う。眼の刺激が持続する場合は医師の手当てを受ける。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口をすすぐ。無理に吐かせない。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医師の手当てを受ける。</w:t>
            </w:r>
          </w:p>
        </w:tc>
      </w:tr>
    </w:tbl>
    <w:p w:rsidR="000A2557" w:rsidRDefault="000A255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06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06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炭酸ガス、粉末、泡等。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06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棒状の注水は火災を拡大する恐れがあるため、使わない。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06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初期消火には、炭酸ガス、粉末消火器を用いて消化する。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06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火災区域から容器を移動し、多量の水を用いて容器を冷却する。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06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適切な空気呼吸器、化学用保護衣を着用し、風上から消火する。</w:t>
            </w:r>
          </w:p>
        </w:tc>
      </w:tr>
    </w:tbl>
    <w:p w:rsidR="000A2557" w:rsidRDefault="000A255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火気厳禁。静電気、衝撃火花、高温体などによる着火源の生じないように注意する。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皮膚に触れないよう、眼に入らないよう、また蒸気を吸入しないよう注意する。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必要に応じ保護具を着用する。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取扱い後は、よく手を洗う。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0A2557" w:rsidRDefault="000A2557">
      <w:pPr>
        <w:spacing w:line="0" w:lineRule="atLeast"/>
        <w:rPr>
          <w:rFonts w:hint="eastAsia"/>
          <w:b/>
          <w:bCs/>
          <w:sz w:val="24"/>
        </w:rPr>
      </w:pPr>
      <w:r>
        <w:rPr>
          <w:b/>
          <w:bCs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59pt;margin-top:136.1pt;width:73.35pt;height:77.45pt;z-index:-251657728;mso-wrap-edited:f;mso-position-horizontal-relative:text;mso-position-vertical-relative:text" wrapcoords="-127 0 -127 21473 21600 21473 21600 0 -127 0">
            <v:imagedata r:id="rId7" o:title=""/>
            <o:lock v:ext="edit" aspectratio="f"/>
          </v:shape>
        </w:pict>
      </w: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保管場所には危険物を貯蔵し、取扱うために必要な採光、照明及び換気の設備を設ける。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床は、床面に水が浸入又は浸透しない構造とする。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熱、火花、裸火のような着火源から離して保管する。禁煙。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酸化剤から離して保管する。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直射日光を避け、</w:t>
            </w:r>
            <w:r>
              <w:rPr>
                <w:rFonts w:hint="eastAsia"/>
                <w:b/>
                <w:bCs/>
                <w:sz w:val="24"/>
              </w:rPr>
              <w:t>50</w:t>
            </w:r>
            <w:r>
              <w:rPr>
                <w:rFonts w:hint="eastAsia"/>
                <w:b/>
                <w:bCs/>
                <w:sz w:val="24"/>
              </w:rPr>
              <w:t>℃を超える温度に暴露しないこと。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0A2557" w:rsidRDefault="000A255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40"/>
                <w:u w:val="single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132" type="#_x0000_t202" style="position:absolute;left:0;text-align:left;margin-left:418.1pt;margin-top:3.65pt;width:117pt;height:38.5pt;z-index:251659776;mso-position-horizontal-relative:text;mso-position-vertical-relative:text" filled="f" stroked="f">
                  <v:textbox>
                    <w:txbxContent>
                      <w:p w:rsidR="000A2557" w:rsidRDefault="000A255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㈱東和製作所</w:t>
                        </w:r>
                      </w:p>
                      <w:p w:rsidR="000A2557" w:rsidRDefault="000A255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社　長　室</w:t>
                        </w:r>
                      </w:p>
                    </w:txbxContent>
                  </v:textbox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容器を密閉し、施錠して保管すること。</w:t>
            </w:r>
          </w:p>
        </w:tc>
      </w:tr>
    </w:tbl>
    <w:p w:rsidR="000A2557" w:rsidRDefault="000A2557">
      <w:pPr>
        <w:spacing w:line="0" w:lineRule="atLeast"/>
        <w:rPr>
          <w:rFonts w:hint="eastAsia"/>
          <w:b/>
          <w:bCs/>
          <w:sz w:val="16"/>
        </w:rPr>
      </w:pPr>
    </w:p>
    <w:p w:rsidR="000A2557" w:rsidRDefault="000A2557">
      <w:pPr>
        <w:rPr>
          <w:rFonts w:hint="eastAsia"/>
          <w:sz w:val="36"/>
        </w:rPr>
      </w:pPr>
    </w:p>
    <w:sectPr w:rsidR="000A2557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2557" w:rsidRDefault="000A2557" w:rsidP="00C62C91">
      <w:r>
        <w:separator/>
      </w:r>
    </w:p>
  </w:endnote>
  <w:endnote w:type="continuationSeparator" w:id="0">
    <w:p w:rsidR="000A2557" w:rsidRDefault="000A2557" w:rsidP="00C62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2557" w:rsidRDefault="000A2557" w:rsidP="00C62C91">
      <w:r>
        <w:separator/>
      </w:r>
    </w:p>
  </w:footnote>
  <w:footnote w:type="continuationSeparator" w:id="0">
    <w:p w:rsidR="000A2557" w:rsidRDefault="000A2557" w:rsidP="00C62C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040403594">
    <w:abstractNumId w:val="8"/>
  </w:num>
  <w:num w:numId="2" w16cid:durableId="138349447">
    <w:abstractNumId w:val="4"/>
  </w:num>
  <w:num w:numId="3" w16cid:durableId="1519349263">
    <w:abstractNumId w:val="6"/>
  </w:num>
  <w:num w:numId="4" w16cid:durableId="183325774">
    <w:abstractNumId w:val="0"/>
  </w:num>
  <w:num w:numId="5" w16cid:durableId="1759524111">
    <w:abstractNumId w:val="1"/>
  </w:num>
  <w:num w:numId="6" w16cid:durableId="918565214">
    <w:abstractNumId w:val="2"/>
  </w:num>
  <w:num w:numId="7" w16cid:durableId="400637690">
    <w:abstractNumId w:val="7"/>
  </w:num>
  <w:num w:numId="8" w16cid:durableId="896892307">
    <w:abstractNumId w:val="5"/>
  </w:num>
  <w:num w:numId="9" w16cid:durableId="947394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6592"/>
    <w:rsid w:val="000A2557"/>
    <w:rsid w:val="00546592"/>
    <w:rsid w:val="00C6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9D110124-C42E-43E8-AC09-4ED5D1C1C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C62C9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62C91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C62C91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62C91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