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01FC" w:rsidRDefault="00C301FC">
      <w:pPr>
        <w:spacing w:line="0" w:lineRule="atLeast"/>
        <w:jc w:val="center"/>
        <w:rPr>
          <w:rFonts w:hint="eastAsia"/>
          <w:sz w:val="16"/>
        </w:rPr>
      </w:pPr>
      <w:r>
        <w:rPr>
          <w:noProof/>
          <w:sz w:val="20"/>
        </w:rPr>
        <w:pict>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C301FC" w:rsidRDefault="00C301FC">
      <w:pPr>
        <w:spacing w:line="0" w:lineRule="atLeast"/>
        <w:jc w:val="center"/>
        <w:rPr>
          <w:rFonts w:hint="eastAsia"/>
          <w:sz w:val="16"/>
        </w:rPr>
      </w:pPr>
    </w:p>
    <w:p w:rsidR="00C301FC" w:rsidRDefault="00C301FC">
      <w:pPr>
        <w:spacing w:line="0" w:lineRule="atLeast"/>
        <w:rPr>
          <w:rFonts w:hint="eastAsia"/>
          <w:sz w:val="16"/>
        </w:rPr>
      </w:pPr>
      <w:r>
        <w:rPr>
          <w:noProof/>
          <w:sz w:val="20"/>
        </w:rPr>
        <w:pict>
          <v:rect id="_x0000_s2057" style="position:absolute;left:0;text-align:left;margin-left:9pt;margin-top:0;width:117pt;height:30.25pt;z-index:251656704" strokeweight="2.25pt">
            <v:textbox style="mso-next-textbox:#_x0000_s2057" inset=",.07mm">
              <w:txbxContent>
                <w:p w:rsidR="00C301FC" w:rsidRDefault="00C301FC">
                  <w:pPr>
                    <w:pStyle w:val="a4"/>
                    <w:rPr>
                      <w:rFonts w:hint="eastAsia"/>
                      <w:spacing w:val="-10"/>
                    </w:rPr>
                  </w:pPr>
                  <w:r>
                    <w:rPr>
                      <w:rFonts w:hint="eastAsia"/>
                      <w:spacing w:val="-10"/>
                    </w:rPr>
                    <w:t>社内用ＭＳＤＳ</w:t>
                  </w:r>
                </w:p>
              </w:txbxContent>
            </v:textbox>
          </v:rect>
        </w:pict>
      </w:r>
    </w:p>
    <w:p w:rsidR="00C301FC" w:rsidRDefault="00C301FC">
      <w:pPr>
        <w:spacing w:line="0" w:lineRule="atLeast"/>
        <w:rPr>
          <w:rFonts w:hint="eastAsia"/>
        </w:rPr>
      </w:pPr>
    </w:p>
    <w:p w:rsidR="00C301FC" w:rsidRDefault="00C301FC">
      <w:pPr>
        <w:spacing w:line="0" w:lineRule="atLeast"/>
        <w:jc w:val="center"/>
        <w:rPr>
          <w:rFonts w:hint="eastAsia"/>
        </w:rPr>
      </w:pPr>
      <w:r>
        <w:rPr>
          <w:rFonts w:hint="eastAsia"/>
          <w:sz w:val="16"/>
        </w:rPr>
        <w:t xml:space="preserve">製品名：ﾕｼﾛﾝｶｯﾄｱｰﾊﾞｽ　</w:t>
      </w:r>
      <w:r>
        <w:rPr>
          <w:rFonts w:hint="eastAsia"/>
          <w:sz w:val="16"/>
        </w:rPr>
        <w:t>KZ270</w:t>
      </w:r>
    </w:p>
    <w:p w:rsidR="00C301FC" w:rsidRDefault="00C301FC">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ＨＧｺﾞｼｯｸE-PRO&quot;;font-weight:bold;v-text-reverse:t;v-text-kern:t" trim="t" fitpath="t" string="【ﾕｼﾛﾝｶｯﾄｱｰﾊﾞｽKZ270】"/>
          </v:shape>
        </w:pict>
      </w:r>
    </w:p>
    <w:p w:rsidR="00C301FC" w:rsidRDefault="00C301FC">
      <w:pPr>
        <w:spacing w:line="0" w:lineRule="atLeast"/>
        <w:rPr>
          <w:rFonts w:hint="eastAsia"/>
        </w:rPr>
      </w:pPr>
    </w:p>
    <w:p w:rsidR="00C301FC" w:rsidRDefault="00C301FC">
      <w:pPr>
        <w:spacing w:line="0" w:lineRule="atLeast"/>
        <w:rPr>
          <w:rFonts w:hint="eastAsia"/>
        </w:rPr>
      </w:pPr>
    </w:p>
    <w:p w:rsidR="00C301FC" w:rsidRDefault="00C301FC">
      <w:pPr>
        <w:spacing w:line="0" w:lineRule="atLeast"/>
        <w:rPr>
          <w:rFonts w:hint="eastAsia"/>
        </w:rPr>
      </w:pPr>
    </w:p>
    <w:p w:rsidR="00C301FC" w:rsidRDefault="00C301FC">
      <w:pPr>
        <w:spacing w:line="0" w:lineRule="atLeast"/>
        <w:rPr>
          <w:rFonts w:hint="eastAsia"/>
        </w:rPr>
      </w:pPr>
    </w:p>
    <w:p w:rsidR="00C301FC" w:rsidRDefault="00C301FC">
      <w:pPr>
        <w:spacing w:line="0" w:lineRule="atLeast"/>
        <w:rPr>
          <w:rFonts w:hint="eastAsia"/>
          <w:b/>
          <w:bCs/>
          <w:sz w:val="24"/>
        </w:rPr>
      </w:pPr>
      <w:r>
        <w:rPr>
          <w:rFonts w:hint="eastAsia"/>
          <w:b/>
          <w:bCs/>
          <w:sz w:val="24"/>
        </w:rPr>
        <w:t>【適用法規等】</w:t>
      </w:r>
    </w:p>
    <w:p w:rsidR="00C301FC" w:rsidRDefault="00C301FC">
      <w:pPr>
        <w:spacing w:line="0" w:lineRule="atLeast"/>
        <w:rPr>
          <w:rFonts w:hint="eastAsia"/>
          <w:b/>
          <w:bCs/>
          <w:sz w:val="24"/>
        </w:rPr>
      </w:pPr>
      <w:r>
        <w:rPr>
          <w:rFonts w:hint="eastAsia"/>
          <w:b/>
          <w:bCs/>
          <w:sz w:val="24"/>
        </w:rPr>
        <w:t xml:space="preserve">　消防法　　　　：危険物第４類第３石油類　非水溶性</w:t>
      </w:r>
    </w:p>
    <w:p w:rsidR="00C301FC" w:rsidRDefault="00C301FC">
      <w:pPr>
        <w:spacing w:line="0" w:lineRule="atLeast"/>
        <w:ind w:firstLineChars="100" w:firstLine="241"/>
        <w:rPr>
          <w:rFonts w:hint="eastAsia"/>
          <w:b/>
          <w:bCs/>
          <w:sz w:val="24"/>
        </w:rPr>
      </w:pPr>
      <w:r>
        <w:rPr>
          <w:rFonts w:hint="eastAsia"/>
          <w:b/>
          <w:bCs/>
          <w:sz w:val="24"/>
        </w:rPr>
        <w:t>労働安全衛生法：通知対象物質　鉱油</w:t>
      </w:r>
    </w:p>
    <w:p w:rsidR="00C301FC" w:rsidRDefault="00C301FC">
      <w:pPr>
        <w:spacing w:line="0" w:lineRule="atLeast"/>
        <w:ind w:firstLineChars="100" w:firstLine="241"/>
        <w:rPr>
          <w:rFonts w:hint="eastAsia"/>
          <w:b/>
          <w:bCs/>
          <w:sz w:val="24"/>
        </w:rPr>
      </w:pPr>
      <w:r>
        <w:rPr>
          <w:rFonts w:hint="eastAsia"/>
          <w:b/>
          <w:bCs/>
          <w:sz w:val="24"/>
        </w:rPr>
        <w:t>水質汚濁防止法：油分排出規制　ノルマルヘキサン抽出分</w:t>
      </w:r>
    </w:p>
    <w:p w:rsidR="00C301FC" w:rsidRDefault="00C301FC">
      <w:pPr>
        <w:spacing w:line="0" w:lineRule="atLeast"/>
        <w:ind w:firstLineChars="100" w:firstLine="241"/>
        <w:rPr>
          <w:rFonts w:hint="eastAsia"/>
          <w:b/>
          <w:bCs/>
          <w:sz w:val="24"/>
        </w:rPr>
      </w:pPr>
      <w:r>
        <w:rPr>
          <w:rFonts w:hint="eastAsia"/>
          <w:b/>
          <w:bCs/>
          <w:sz w:val="24"/>
        </w:rPr>
        <w:t>下水道法　　　：鉱油類排出規制</w:t>
      </w:r>
    </w:p>
    <w:p w:rsidR="00C301FC" w:rsidRDefault="00C301FC">
      <w:pPr>
        <w:spacing w:line="0" w:lineRule="atLeast"/>
        <w:ind w:firstLineChars="100" w:firstLine="241"/>
        <w:rPr>
          <w:rFonts w:hint="eastAsia"/>
          <w:b/>
          <w:bCs/>
          <w:sz w:val="24"/>
        </w:rPr>
      </w:pPr>
      <w:r>
        <w:rPr>
          <w:rFonts w:hint="eastAsia"/>
          <w:b/>
          <w:bCs/>
          <w:sz w:val="24"/>
        </w:rPr>
        <w:t>廃棄物の処理及び清掃に関する法律：産業廃棄物規制（拡散、流出の禁止）</w:t>
      </w:r>
    </w:p>
    <w:p w:rsidR="00C301FC" w:rsidRDefault="00C301FC">
      <w:pPr>
        <w:spacing w:line="0" w:lineRule="atLeast"/>
        <w:rPr>
          <w:rFonts w:hint="eastAsia"/>
          <w:b/>
          <w:bCs/>
          <w:sz w:val="24"/>
        </w:rPr>
      </w:pPr>
    </w:p>
    <w:p w:rsidR="00C301FC" w:rsidRDefault="00C301FC">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 xml:space="preserve">(1) </w:t>
            </w:r>
            <w:r>
              <w:rPr>
                <w:rFonts w:hint="eastAsia"/>
                <w:b/>
                <w:bCs/>
                <w:sz w:val="24"/>
              </w:rPr>
              <w:t>目に入ったり皮膚に触れると炎症を起こす恐れがある。</w:t>
            </w:r>
          </w:p>
        </w:tc>
      </w:tr>
      <w:tr w:rsidR="00000000">
        <w:tblPrEx>
          <w:tblCellMar>
            <w:top w:w="0" w:type="dxa"/>
            <w:bottom w:w="0" w:type="dxa"/>
          </w:tblCellMar>
        </w:tblPrEx>
        <w:trPr>
          <w:cantSplit/>
        </w:trPr>
        <w:tc>
          <w:tcPr>
            <w:tcW w:w="10620" w:type="dxa"/>
            <w:tcBorders>
              <w:top w:val="nil"/>
              <w:left w:val="nil"/>
              <w:bottom w:val="nil"/>
              <w:right w:val="nil"/>
            </w:tcBorders>
          </w:tcPr>
          <w:p w:rsidR="00C301FC" w:rsidRDefault="00C301FC">
            <w:pPr>
              <w:spacing w:line="0" w:lineRule="atLeast"/>
              <w:ind w:left="429" w:hangingChars="178" w:hanging="429"/>
              <w:rPr>
                <w:rFonts w:hint="eastAsia"/>
                <w:b/>
                <w:bCs/>
                <w:sz w:val="24"/>
              </w:rPr>
            </w:pPr>
            <w:r>
              <w:rPr>
                <w:rFonts w:hint="eastAsia"/>
                <w:b/>
                <w:bCs/>
                <w:sz w:val="24"/>
              </w:rPr>
              <w:t xml:space="preserve">(2) </w:t>
            </w:r>
            <w:r>
              <w:rPr>
                <w:rFonts w:hint="eastAsia"/>
                <w:b/>
                <w:bCs/>
                <w:sz w:val="24"/>
              </w:rPr>
              <w:t>ミスト又は蒸気を吸入すると気分が悪くなることがある。</w:t>
            </w:r>
          </w:p>
        </w:tc>
      </w:tr>
      <w:tr w:rsidR="00000000">
        <w:tblPrEx>
          <w:tblCellMar>
            <w:top w:w="0" w:type="dxa"/>
            <w:bottom w:w="0" w:type="dxa"/>
          </w:tblCellMar>
        </w:tblPrEx>
        <w:trPr>
          <w:cantSplit/>
        </w:trPr>
        <w:tc>
          <w:tcPr>
            <w:tcW w:w="10620"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 xml:space="preserve">(3) </w:t>
            </w:r>
            <w:r>
              <w:rPr>
                <w:rFonts w:hint="eastAsia"/>
                <w:b/>
                <w:bCs/>
                <w:sz w:val="24"/>
              </w:rPr>
              <w:t>誤飲すると、下痢、嘔吐することがある。</w:t>
            </w:r>
          </w:p>
        </w:tc>
      </w:tr>
    </w:tbl>
    <w:p w:rsidR="00C301FC" w:rsidRDefault="00C301FC">
      <w:pPr>
        <w:spacing w:line="0" w:lineRule="atLeast"/>
        <w:rPr>
          <w:rFonts w:hint="eastAsia"/>
          <w:b/>
          <w:bCs/>
          <w:sz w:val="24"/>
        </w:rPr>
      </w:pPr>
    </w:p>
    <w:p w:rsidR="00C301FC" w:rsidRDefault="00C301FC">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tblPrEx>
          <w:tblCellMar>
            <w:top w:w="0" w:type="dxa"/>
            <w:bottom w:w="0" w:type="dxa"/>
          </w:tblCellMar>
        </w:tblPrEx>
        <w:trPr>
          <w:cantSplit/>
        </w:trPr>
        <w:tc>
          <w:tcPr>
            <w:tcW w:w="2615"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C301FC" w:rsidRDefault="00C301FC">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C301FC" w:rsidRDefault="00C301FC">
            <w:pPr>
              <w:spacing w:line="0" w:lineRule="atLeast"/>
              <w:rPr>
                <w:rFonts w:hint="eastAsia"/>
                <w:b/>
                <w:bCs/>
                <w:spacing w:val="-4"/>
                <w:sz w:val="24"/>
              </w:rPr>
            </w:pPr>
            <w:r>
              <w:rPr>
                <w:rFonts w:hint="eastAsia"/>
                <w:b/>
                <w:bCs/>
                <w:spacing w:val="-4"/>
                <w:sz w:val="24"/>
              </w:rPr>
              <w:t>新鮮な空気の場所に移し、体を毛布等で覆い保温して安静に保ち、異常があれば医師の診断を受ける。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C301FC" w:rsidRDefault="00C301FC">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触れた部分を水またはぬるま湯で洗浄し、外観に変化があるか痛みが続く場合は、医師の診断を受ける。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C301FC" w:rsidRDefault="00C301FC">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清浄な流水で</w:t>
            </w:r>
            <w:r>
              <w:rPr>
                <w:rFonts w:hint="eastAsia"/>
                <w:b/>
                <w:bCs/>
                <w:sz w:val="24"/>
              </w:rPr>
              <w:t>15</w:t>
            </w:r>
            <w:r>
              <w:rPr>
                <w:rFonts w:hint="eastAsia"/>
                <w:b/>
                <w:bCs/>
                <w:sz w:val="24"/>
              </w:rPr>
              <w:t>分以上洗眼した後、医師の診断を受ける。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C301FC" w:rsidRDefault="00C301FC">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直ちに吐かせ、速やかに医師の診断を受ける。</w:t>
            </w:r>
          </w:p>
        </w:tc>
      </w:tr>
      <w:tr w:rsidR="00000000">
        <w:tblPrEx>
          <w:tblCellMar>
            <w:top w:w="0" w:type="dxa"/>
            <w:bottom w:w="0" w:type="dxa"/>
          </w:tblCellMar>
        </w:tblPrEx>
        <w:trPr>
          <w:cantSplit/>
        </w:trPr>
        <w:tc>
          <w:tcPr>
            <w:tcW w:w="2615" w:type="dxa"/>
            <w:tcBorders>
              <w:top w:val="nil"/>
              <w:left w:val="nil"/>
              <w:bottom w:val="nil"/>
              <w:right w:val="nil"/>
            </w:tcBorders>
          </w:tcPr>
          <w:p w:rsidR="00C301FC" w:rsidRDefault="00C301FC">
            <w:pPr>
              <w:spacing w:line="0" w:lineRule="atLeast"/>
              <w:rPr>
                <w:rFonts w:hint="eastAsia"/>
                <w:b/>
                <w:bCs/>
                <w:sz w:val="24"/>
              </w:rPr>
            </w:pPr>
          </w:p>
        </w:tc>
        <w:tc>
          <w:tcPr>
            <w:tcW w:w="218" w:type="dxa"/>
            <w:tcBorders>
              <w:top w:val="nil"/>
              <w:left w:val="nil"/>
              <w:bottom w:val="nil"/>
              <w:right w:val="nil"/>
            </w:tcBorders>
          </w:tcPr>
          <w:p w:rsidR="00C301FC" w:rsidRDefault="00C301FC">
            <w:pPr>
              <w:spacing w:line="0" w:lineRule="atLeast"/>
              <w:jc w:val="right"/>
              <w:rPr>
                <w:rFonts w:hint="eastAsia"/>
                <w:b/>
                <w:bCs/>
                <w:spacing w:val="-20"/>
                <w:sz w:val="16"/>
              </w:rPr>
            </w:pPr>
          </w:p>
        </w:tc>
        <w:tc>
          <w:tcPr>
            <w:tcW w:w="7779" w:type="dxa"/>
            <w:tcBorders>
              <w:top w:val="nil"/>
              <w:left w:val="nil"/>
              <w:bottom w:val="nil"/>
              <w:right w:val="nil"/>
            </w:tcBorders>
          </w:tcPr>
          <w:p w:rsidR="00C301FC" w:rsidRDefault="00C301FC">
            <w:pPr>
              <w:spacing w:line="0" w:lineRule="atLeast"/>
              <w:rPr>
                <w:rFonts w:hint="eastAsia"/>
                <w:b/>
                <w:bCs/>
                <w:sz w:val="24"/>
              </w:rPr>
            </w:pPr>
          </w:p>
        </w:tc>
      </w:tr>
    </w:tbl>
    <w:p w:rsidR="00C301FC" w:rsidRDefault="00C301FC">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000000">
        <w:tblPrEx>
          <w:tblCellMar>
            <w:top w:w="0" w:type="dxa"/>
            <w:bottom w:w="0" w:type="dxa"/>
          </w:tblCellMar>
        </w:tblPrEx>
        <w:trPr>
          <w:cantSplit/>
        </w:trPr>
        <w:tc>
          <w:tcPr>
            <w:tcW w:w="2615"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rsidR="00C301FC" w:rsidRDefault="00C301FC">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C301FC" w:rsidRDefault="00C301FC">
            <w:pPr>
              <w:spacing w:line="0" w:lineRule="atLeast"/>
              <w:rPr>
                <w:rFonts w:hint="eastAsia"/>
                <w:b/>
                <w:bCs/>
                <w:spacing w:val="-4"/>
                <w:sz w:val="24"/>
              </w:rPr>
            </w:pPr>
            <w:r>
              <w:rPr>
                <w:rFonts w:hint="eastAsia"/>
                <w:b/>
                <w:bCs/>
                <w:spacing w:val="-4"/>
                <w:sz w:val="24"/>
              </w:rPr>
              <w:t>炭酸ガス、粉末、泡消火剤　等</w:t>
            </w:r>
          </w:p>
        </w:tc>
      </w:tr>
      <w:tr w:rsidR="00000000">
        <w:tblPrEx>
          <w:tblCellMar>
            <w:top w:w="0" w:type="dxa"/>
            <w:bottom w:w="0" w:type="dxa"/>
          </w:tblCellMar>
        </w:tblPrEx>
        <w:trPr>
          <w:cantSplit/>
        </w:trPr>
        <w:tc>
          <w:tcPr>
            <w:tcW w:w="2615"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 xml:space="preserve">　</w:t>
            </w:r>
          </w:p>
        </w:tc>
        <w:tc>
          <w:tcPr>
            <w:tcW w:w="218" w:type="dxa"/>
            <w:tcBorders>
              <w:top w:val="nil"/>
              <w:left w:val="nil"/>
              <w:bottom w:val="nil"/>
              <w:right w:val="nil"/>
            </w:tcBorders>
          </w:tcPr>
          <w:p w:rsidR="00C301FC" w:rsidRDefault="00C301FC">
            <w:pPr>
              <w:spacing w:line="0" w:lineRule="atLeast"/>
              <w:jc w:val="right"/>
              <w:rPr>
                <w:rFonts w:hint="eastAsia"/>
                <w:b/>
                <w:bCs/>
                <w:spacing w:val="-20"/>
                <w:sz w:val="16"/>
              </w:rPr>
            </w:pPr>
          </w:p>
        </w:tc>
        <w:tc>
          <w:tcPr>
            <w:tcW w:w="7779" w:type="dxa"/>
            <w:tcBorders>
              <w:top w:val="nil"/>
              <w:left w:val="nil"/>
              <w:bottom w:val="nil"/>
              <w:right w:val="nil"/>
            </w:tcBorders>
          </w:tcPr>
          <w:p w:rsidR="00C301FC" w:rsidRDefault="00C301FC">
            <w:pPr>
              <w:spacing w:line="0" w:lineRule="atLeast"/>
              <w:rPr>
                <w:rFonts w:hint="eastAsia"/>
                <w:b/>
                <w:bCs/>
                <w:sz w:val="24"/>
              </w:rPr>
            </w:pPr>
          </w:p>
        </w:tc>
      </w:tr>
      <w:tr w:rsidR="00000000">
        <w:tblPrEx>
          <w:tblCellMar>
            <w:top w:w="0" w:type="dxa"/>
            <w:bottom w:w="0" w:type="dxa"/>
          </w:tblCellMar>
        </w:tblPrEx>
        <w:trPr>
          <w:cantSplit/>
        </w:trPr>
        <w:tc>
          <w:tcPr>
            <w:tcW w:w="2615"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rsidR="00C301FC" w:rsidRDefault="00C301FC">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火災初期には、炭酸ガス、粉末消火剤を用いて風上から消火する。</w:t>
            </w:r>
          </w:p>
        </w:tc>
      </w:tr>
      <w:tr w:rsidR="00000000">
        <w:tblPrEx>
          <w:tblCellMar>
            <w:top w:w="0" w:type="dxa"/>
            <w:bottom w:w="0" w:type="dxa"/>
          </w:tblCellMar>
        </w:tblPrEx>
        <w:trPr>
          <w:cantSplit/>
        </w:trPr>
        <w:tc>
          <w:tcPr>
            <w:tcW w:w="2615" w:type="dxa"/>
            <w:tcBorders>
              <w:top w:val="nil"/>
              <w:left w:val="nil"/>
              <w:bottom w:val="nil"/>
              <w:right w:val="nil"/>
            </w:tcBorders>
          </w:tcPr>
          <w:p w:rsidR="00C301FC" w:rsidRDefault="00C301FC">
            <w:pPr>
              <w:spacing w:line="0" w:lineRule="atLeast"/>
              <w:rPr>
                <w:rFonts w:hint="eastAsia"/>
                <w:b/>
                <w:bCs/>
                <w:sz w:val="24"/>
              </w:rPr>
            </w:pPr>
          </w:p>
        </w:tc>
        <w:tc>
          <w:tcPr>
            <w:tcW w:w="218" w:type="dxa"/>
            <w:tcBorders>
              <w:top w:val="nil"/>
              <w:left w:val="nil"/>
              <w:bottom w:val="nil"/>
              <w:right w:val="nil"/>
            </w:tcBorders>
          </w:tcPr>
          <w:p w:rsidR="00C301FC" w:rsidRDefault="00C301FC">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大規模火災には、泡消火剤で空気を遮断することが有効。</w:t>
            </w:r>
          </w:p>
        </w:tc>
      </w:tr>
      <w:tr w:rsidR="00000000">
        <w:tblPrEx>
          <w:tblCellMar>
            <w:top w:w="0" w:type="dxa"/>
            <w:bottom w:w="0" w:type="dxa"/>
          </w:tblCellMar>
        </w:tblPrEx>
        <w:trPr>
          <w:cantSplit/>
        </w:trPr>
        <w:tc>
          <w:tcPr>
            <w:tcW w:w="2615"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rsidR="00C301FC" w:rsidRDefault="00C301FC">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消火作業は風上から行い、必ず保護具を着用する。</w:t>
            </w:r>
          </w:p>
        </w:tc>
      </w:tr>
    </w:tbl>
    <w:p w:rsidR="00C301FC" w:rsidRDefault="00C301FC">
      <w:pPr>
        <w:spacing w:line="0" w:lineRule="atLeast"/>
        <w:rPr>
          <w:rFonts w:hint="eastAsia"/>
          <w:b/>
          <w:bCs/>
          <w:sz w:val="24"/>
        </w:rPr>
      </w:pPr>
    </w:p>
    <w:p w:rsidR="00C301FC" w:rsidRDefault="00C301FC">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 xml:space="preserve">(1) </w:t>
            </w:r>
            <w:r>
              <w:rPr>
                <w:rFonts w:hint="eastAsia"/>
                <w:b/>
                <w:bCs/>
                <w:sz w:val="24"/>
              </w:rPr>
              <w:t>適切な保護具（保護眼鏡、手袋）を着用して作業を行うこと。</w:t>
            </w:r>
          </w:p>
        </w:tc>
      </w:tr>
      <w:tr w:rsidR="00000000">
        <w:tblPrEx>
          <w:tblCellMar>
            <w:top w:w="0" w:type="dxa"/>
            <w:bottom w:w="0" w:type="dxa"/>
          </w:tblCellMar>
        </w:tblPrEx>
        <w:trPr>
          <w:cantSplit/>
        </w:trPr>
        <w:tc>
          <w:tcPr>
            <w:tcW w:w="10620" w:type="dxa"/>
            <w:tcBorders>
              <w:top w:val="nil"/>
              <w:left w:val="nil"/>
              <w:bottom w:val="nil"/>
              <w:right w:val="nil"/>
            </w:tcBorders>
          </w:tcPr>
          <w:p w:rsidR="00C301FC" w:rsidRDefault="00C301FC">
            <w:pPr>
              <w:spacing w:line="0" w:lineRule="atLeast"/>
              <w:ind w:left="429" w:hangingChars="178" w:hanging="429"/>
              <w:rPr>
                <w:rFonts w:hint="eastAsia"/>
                <w:b/>
                <w:bCs/>
                <w:sz w:val="24"/>
              </w:rPr>
            </w:pPr>
            <w:r>
              <w:rPr>
                <w:rFonts w:hint="eastAsia"/>
                <w:b/>
                <w:bCs/>
                <w:sz w:val="24"/>
              </w:rPr>
              <w:t xml:space="preserve">(2) </w:t>
            </w:r>
            <w:r>
              <w:rPr>
                <w:rFonts w:hint="eastAsia"/>
                <w:b/>
                <w:bCs/>
                <w:sz w:val="24"/>
              </w:rPr>
              <w:t>ミストが発生する場合には呼吸器具等を使用してミストを吸入しないようにすること。</w:t>
            </w:r>
          </w:p>
        </w:tc>
      </w:tr>
      <w:tr w:rsidR="00000000">
        <w:tblPrEx>
          <w:tblCellMar>
            <w:top w:w="0" w:type="dxa"/>
            <w:bottom w:w="0" w:type="dxa"/>
          </w:tblCellMar>
        </w:tblPrEx>
        <w:trPr>
          <w:cantSplit/>
        </w:trPr>
        <w:tc>
          <w:tcPr>
            <w:tcW w:w="10620" w:type="dxa"/>
            <w:tcBorders>
              <w:top w:val="nil"/>
              <w:left w:val="nil"/>
              <w:bottom w:val="nil"/>
              <w:right w:val="nil"/>
            </w:tcBorders>
          </w:tcPr>
          <w:p w:rsidR="00C301FC" w:rsidRDefault="00C301FC">
            <w:pPr>
              <w:spacing w:line="0" w:lineRule="atLeast"/>
              <w:ind w:left="458" w:hangingChars="200" w:hanging="458"/>
              <w:rPr>
                <w:rFonts w:hint="eastAsia"/>
                <w:b/>
                <w:bCs/>
                <w:spacing w:val="-6"/>
                <w:sz w:val="24"/>
              </w:rPr>
            </w:pPr>
          </w:p>
        </w:tc>
      </w:tr>
    </w:tbl>
    <w:p w:rsidR="00C301FC" w:rsidRDefault="00C301FC">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000000">
        <w:tblPrEx>
          <w:tblCellMar>
            <w:top w:w="0" w:type="dxa"/>
            <w:bottom w:w="0" w:type="dxa"/>
          </w:tblCellMar>
        </w:tblPrEx>
        <w:trPr>
          <w:cantSplit/>
        </w:trPr>
        <w:tc>
          <w:tcPr>
            <w:tcW w:w="10620"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 xml:space="preserve">(1) </w:t>
            </w:r>
            <w:r>
              <w:rPr>
                <w:rFonts w:hint="eastAsia"/>
                <w:b/>
                <w:bCs/>
                <w:sz w:val="24"/>
              </w:rPr>
              <w:t>ゴミ、水分等の混入防止のため使用後は密栓しておく。</w:t>
            </w:r>
          </w:p>
        </w:tc>
      </w:tr>
      <w:tr w:rsidR="00000000">
        <w:tblPrEx>
          <w:tblCellMar>
            <w:top w:w="0" w:type="dxa"/>
            <w:bottom w:w="0" w:type="dxa"/>
          </w:tblCellMar>
        </w:tblPrEx>
        <w:trPr>
          <w:cantSplit/>
        </w:trPr>
        <w:tc>
          <w:tcPr>
            <w:tcW w:w="10620" w:type="dxa"/>
            <w:tcBorders>
              <w:top w:val="nil"/>
              <w:left w:val="nil"/>
              <w:bottom w:val="nil"/>
              <w:right w:val="nil"/>
            </w:tcBorders>
          </w:tcPr>
          <w:p w:rsidR="00C301FC" w:rsidRDefault="00C301FC">
            <w:pPr>
              <w:spacing w:line="0" w:lineRule="atLeast"/>
              <w:ind w:left="429" w:hangingChars="178" w:hanging="429"/>
              <w:rPr>
                <w:rFonts w:hint="eastAsia"/>
                <w:b/>
                <w:bCs/>
                <w:sz w:val="24"/>
              </w:rPr>
            </w:pPr>
            <w:r>
              <w:rPr>
                <w:rFonts w:hint="eastAsia"/>
                <w:b/>
                <w:bCs/>
                <w:sz w:val="24"/>
              </w:rPr>
              <w:t xml:space="preserve">(2) </w:t>
            </w:r>
            <w:r>
              <w:rPr>
                <w:rFonts w:hint="eastAsia"/>
                <w:b/>
                <w:bCs/>
                <w:sz w:val="24"/>
              </w:rPr>
              <w:t>直射日光を避け、火気、熱源から遠ざけて保管する。</w:t>
            </w:r>
          </w:p>
        </w:tc>
      </w:tr>
      <w:tr w:rsidR="00000000">
        <w:tblPrEx>
          <w:tblCellMar>
            <w:top w:w="0" w:type="dxa"/>
            <w:bottom w:w="0" w:type="dxa"/>
          </w:tblCellMar>
        </w:tblPrEx>
        <w:trPr>
          <w:cantSplit/>
        </w:trPr>
        <w:tc>
          <w:tcPr>
            <w:tcW w:w="10620" w:type="dxa"/>
            <w:tcBorders>
              <w:top w:val="nil"/>
              <w:left w:val="nil"/>
              <w:bottom w:val="nil"/>
              <w:right w:val="nil"/>
            </w:tcBorders>
          </w:tcPr>
          <w:p w:rsidR="00C301FC" w:rsidRDefault="00C301FC">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０度～４０度の温度にて保管する。</w:t>
            </w:r>
          </w:p>
        </w:tc>
      </w:tr>
      <w:tr w:rsidR="00000000">
        <w:tblPrEx>
          <w:tblCellMar>
            <w:top w:w="0" w:type="dxa"/>
            <w:bottom w:w="0" w:type="dxa"/>
          </w:tblCellMar>
        </w:tblPrEx>
        <w:trPr>
          <w:cantSplit/>
        </w:trPr>
        <w:tc>
          <w:tcPr>
            <w:tcW w:w="10620" w:type="dxa"/>
            <w:tcBorders>
              <w:top w:val="nil"/>
              <w:left w:val="nil"/>
              <w:bottom w:val="nil"/>
              <w:right w:val="nil"/>
            </w:tcBorders>
          </w:tcPr>
          <w:p w:rsidR="00C301FC" w:rsidRDefault="00C301FC">
            <w:pPr>
              <w:spacing w:line="0" w:lineRule="atLeast"/>
              <w:rPr>
                <w:rFonts w:hint="eastAsia"/>
                <w:b/>
                <w:bCs/>
                <w:sz w:val="24"/>
              </w:rPr>
            </w:pPr>
            <w:r>
              <w:rPr>
                <w:rFonts w:hint="eastAsia"/>
                <w:b/>
                <w:bCs/>
                <w:sz w:val="24"/>
              </w:rPr>
              <w:t xml:space="preserve">(4) </w:t>
            </w:r>
            <w:r>
              <w:rPr>
                <w:rFonts w:hint="eastAsia"/>
                <w:b/>
                <w:bCs/>
                <w:sz w:val="24"/>
              </w:rPr>
              <w:t>酸化性物質と同一場所に保管してはならない。</w:t>
            </w:r>
          </w:p>
        </w:tc>
      </w:tr>
      <w:tr w:rsidR="00000000">
        <w:tblPrEx>
          <w:tblCellMar>
            <w:top w:w="0" w:type="dxa"/>
            <w:bottom w:w="0" w:type="dxa"/>
          </w:tblCellMar>
        </w:tblPrEx>
        <w:trPr>
          <w:cantSplit/>
        </w:trPr>
        <w:tc>
          <w:tcPr>
            <w:tcW w:w="10620" w:type="dxa"/>
            <w:tcBorders>
              <w:top w:val="nil"/>
              <w:left w:val="nil"/>
              <w:bottom w:val="nil"/>
              <w:right w:val="nil"/>
            </w:tcBorders>
          </w:tcPr>
          <w:p w:rsidR="00C301FC" w:rsidRDefault="00C301FC">
            <w:pPr>
              <w:spacing w:line="0" w:lineRule="atLeast"/>
              <w:ind w:left="482" w:hangingChars="200" w:hanging="482"/>
              <w:rPr>
                <w:rFonts w:hint="eastAsia"/>
                <w:b/>
                <w:bCs/>
                <w:sz w:val="24"/>
              </w:rPr>
            </w:pPr>
            <w:r>
              <w:rPr>
                <w:b/>
                <w:bCs/>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49.15pt;margin-top:13.1pt;width:73.35pt;height:77.45pt;z-index:-251657728;mso-wrap-edited:f;mso-position-horizontal-relative:text;mso-position-vertical-relative:text" wrapcoords="-127 0 -127 21473 21600 21473 21600 0 -127 0">
                  <v:imagedata r:id="rId7" o:title=""/>
                  <o:lock v:ext="edit" aspectratio="f"/>
                </v:shape>
              </w:pict>
            </w:r>
          </w:p>
        </w:tc>
      </w:tr>
      <w:tr w:rsidR="00000000">
        <w:tblPrEx>
          <w:tblCellMar>
            <w:top w:w="0" w:type="dxa"/>
            <w:bottom w:w="0" w:type="dxa"/>
          </w:tblCellMar>
        </w:tblPrEx>
        <w:trPr>
          <w:cantSplit/>
        </w:trPr>
        <w:tc>
          <w:tcPr>
            <w:tcW w:w="10620" w:type="dxa"/>
            <w:tcBorders>
              <w:top w:val="nil"/>
              <w:left w:val="nil"/>
              <w:bottom w:val="nil"/>
              <w:right w:val="nil"/>
            </w:tcBorders>
          </w:tcPr>
          <w:p w:rsidR="00C301FC" w:rsidRDefault="00C301FC">
            <w:pPr>
              <w:spacing w:line="0" w:lineRule="atLeast"/>
              <w:rPr>
                <w:rFonts w:hint="eastAsia"/>
                <w:b/>
                <w:bCs/>
                <w:sz w:val="24"/>
              </w:rPr>
            </w:pPr>
          </w:p>
        </w:tc>
      </w:tr>
    </w:tbl>
    <w:p w:rsidR="00C301FC" w:rsidRDefault="00C301FC">
      <w:pPr>
        <w:spacing w:line="0" w:lineRule="atLeast"/>
        <w:rPr>
          <w:rFonts w:hint="eastAsia"/>
          <w:b/>
          <w:bCs/>
          <w:sz w:val="16"/>
        </w:rPr>
      </w:pPr>
    </w:p>
    <w:p w:rsidR="00C301FC" w:rsidRDefault="00C301FC">
      <w:pPr>
        <w:rPr>
          <w:rFonts w:hint="eastAsia"/>
          <w:sz w:val="36"/>
        </w:rPr>
      </w:pPr>
      <w:r>
        <w:rPr>
          <w:b/>
          <w:bCs/>
          <w:noProof/>
          <w:sz w:val="40"/>
          <w:u w:val="single"/>
        </w:rPr>
        <w:pict>
          <v:shapetype id="_x0000_t202" coordsize="21600,21600" o:spt="202" path="m,l,21600r21600,l21600,xe">
            <v:stroke joinstyle="miter"/>
            <v:path gradientshapeok="t" o:connecttype="rect"/>
          </v:shapetype>
          <v:shape id="_x0000_s2132" type="#_x0000_t202" style="position:absolute;left:0;text-align:left;margin-left:6in;margin-top:53.3pt;width:117pt;height:38.5pt;z-index:251659776" filled="f" stroked="f">
            <v:textbox>
              <w:txbxContent>
                <w:p w:rsidR="00C301FC" w:rsidRDefault="00C301FC">
                  <w:pPr>
                    <w:jc w:val="center"/>
                    <w:rPr>
                      <w:rFonts w:hint="eastAsia"/>
                    </w:rPr>
                  </w:pPr>
                  <w:r>
                    <w:rPr>
                      <w:rFonts w:hint="eastAsia"/>
                    </w:rPr>
                    <w:t>㈱東和製作所</w:t>
                  </w:r>
                </w:p>
                <w:p w:rsidR="00C301FC" w:rsidRDefault="00C301FC">
                  <w:pPr>
                    <w:jc w:val="center"/>
                    <w:rPr>
                      <w:rFonts w:hint="eastAsia"/>
                    </w:rPr>
                  </w:pPr>
                  <w:r>
                    <w:rPr>
                      <w:rFonts w:hint="eastAsia"/>
                    </w:rPr>
                    <w:t>社　長　室</w:t>
                  </w:r>
                </w:p>
              </w:txbxContent>
            </v:textbox>
          </v:shape>
        </w:pict>
      </w:r>
    </w:p>
    <w:sectPr w:rsidR="00C301FC">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01FC" w:rsidRDefault="00C301FC" w:rsidP="007530FA">
      <w:r>
        <w:separator/>
      </w:r>
    </w:p>
  </w:endnote>
  <w:endnote w:type="continuationSeparator" w:id="0">
    <w:p w:rsidR="00C301FC" w:rsidRDefault="00C301FC" w:rsidP="00753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01FC" w:rsidRDefault="00C301FC" w:rsidP="007530FA">
      <w:r>
        <w:separator/>
      </w:r>
    </w:p>
  </w:footnote>
  <w:footnote w:type="continuationSeparator" w:id="0">
    <w:p w:rsidR="00C301FC" w:rsidRDefault="00C301FC" w:rsidP="007530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682075936">
    <w:abstractNumId w:val="8"/>
  </w:num>
  <w:num w:numId="2" w16cid:durableId="789200116">
    <w:abstractNumId w:val="4"/>
  </w:num>
  <w:num w:numId="3" w16cid:durableId="407650173">
    <w:abstractNumId w:val="6"/>
  </w:num>
  <w:num w:numId="4" w16cid:durableId="1580360720">
    <w:abstractNumId w:val="0"/>
  </w:num>
  <w:num w:numId="5" w16cid:durableId="2112318685">
    <w:abstractNumId w:val="1"/>
  </w:num>
  <w:num w:numId="6" w16cid:durableId="504170455">
    <w:abstractNumId w:val="2"/>
  </w:num>
  <w:num w:numId="7" w16cid:durableId="1844204438">
    <w:abstractNumId w:val="7"/>
  </w:num>
  <w:num w:numId="8" w16cid:durableId="1923223681">
    <w:abstractNumId w:val="5"/>
  </w:num>
  <w:num w:numId="9" w16cid:durableId="1181168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073E"/>
    <w:rsid w:val="007530FA"/>
    <w:rsid w:val="00C301FC"/>
    <w:rsid w:val="00D807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5:chartTrackingRefBased/>
  <w15:docId w15:val="{5ADFA03A-14DD-4426-9DB8-7C8875C0E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7530FA"/>
    <w:pPr>
      <w:tabs>
        <w:tab w:val="center" w:pos="4252"/>
        <w:tab w:val="right" w:pos="8504"/>
      </w:tabs>
      <w:snapToGrid w:val="0"/>
    </w:pPr>
  </w:style>
  <w:style w:type="character" w:customStyle="1" w:styleId="a6">
    <w:name w:val="ヘッダー (文字)"/>
    <w:basedOn w:val="a0"/>
    <w:link w:val="a5"/>
    <w:uiPriority w:val="99"/>
    <w:rsid w:val="007530FA"/>
    <w:rPr>
      <w:rFonts w:eastAsia="HG丸ｺﾞｼｯｸM-PRO"/>
      <w:kern w:val="2"/>
      <w:sz w:val="21"/>
      <w:szCs w:val="24"/>
    </w:rPr>
  </w:style>
  <w:style w:type="paragraph" w:styleId="a7">
    <w:name w:val="footer"/>
    <w:basedOn w:val="a"/>
    <w:link w:val="a8"/>
    <w:uiPriority w:val="99"/>
    <w:unhideWhenUsed/>
    <w:rsid w:val="007530FA"/>
    <w:pPr>
      <w:tabs>
        <w:tab w:val="center" w:pos="4252"/>
        <w:tab w:val="right" w:pos="8504"/>
      </w:tabs>
      <w:snapToGrid w:val="0"/>
    </w:pPr>
  </w:style>
  <w:style w:type="character" w:customStyle="1" w:styleId="a8">
    <w:name w:val="フッター (文字)"/>
    <w:basedOn w:val="a0"/>
    <w:link w:val="a7"/>
    <w:uiPriority w:val="99"/>
    <w:rsid w:val="007530FA"/>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社内用ＭＳＤＳ　　　　　　　　　　　　　　製品名：アサヒトリクロールＮＥ</vt:lpstr>
    </vt:vector>
  </TitlesOfParts>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