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" w:after="0"/>
      </w:pPr>
      <w:r>
        <w:t xml:space="preserve"/>
      </w:r>
    </w:p>
    <w:p>
      <w:pPr>
        <w:spacing w:before="0" w:after="0"/>
        <w:jc w:val="center"/>
      </w:pPr>
      <w:r>
        <w:rPr>
          <w:rFonts w:ascii="SimSun" w:cs="SimSun" w:eastAsia="SimSun" w:hAnsi="SimSun"/>
          <w:b/>
          <w:bCs/>
          <w:color w:val="0D2B55"/>
          <w:sz w:val="72"/>
          <w:szCs w:val="72"/>
        </w:rPr>
        <w:t xml:space="preserve">Evidence Engine</w:t>
      </w:r>
    </w:p>
    <w:p>
      <w:pPr>
        <w:spacing w:before="60" w:after="0"/>
        <w:jc w:val="center"/>
      </w:pPr>
      <w:r>
        <w:rPr>
          <w:rFonts w:ascii="SimSun" w:cs="SimSun" w:eastAsia="SimSun" w:hAnsi="SimSun"/>
          <w:b/>
          <w:bCs/>
          <w:color w:val="1565C0"/>
          <w:sz w:val="44"/>
          <w:szCs w:val="44"/>
        </w:rPr>
        <w:t xml:space="preserve">医疗证据操作系统</w:t>
      </w:r>
    </w:p>
    <w:p>
      <w:pPr>
        <w:spacing w:before="80" w:after="0"/>
        <w:jc w:val="center"/>
      </w:pPr>
      <w:r>
        <w:rPr>
          <w:rFonts w:ascii="SimSun" w:cs="SimSun" w:eastAsia="SimSun" w:hAnsi="SimSun"/>
          <w:i/>
          <w:iCs/>
          <w:color w:val="888888"/>
          <w:sz w:val="24"/>
          <w:szCs w:val="24"/>
        </w:rPr>
        <w:t xml:space="preserve">Medical Evidence Operating System</w:t>
      </w:r>
    </w:p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2B55" w:sz="8"/>
              <w:left w:val="single" w:color="0D2B55" w:sz="8"/>
              <w:bottom w:val="single" w:color="0D2B55" w:sz="8"/>
              <w:right w:val="single" w:color="0D2B55" w:sz="8"/>
            </w:tcBorders>
            <w:shd w:fill="E3F0FF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spacing w:before="0" w:after="60"/>
              <w:jc w:val="center"/>
            </w:pPr>
            <w:r>
              <w:rPr>
                <w:rFonts w:ascii="SimSun" w:cs="SimSun" w:eastAsia="SimSun" w:hAnsi="SimSun"/>
                <w:b/>
                <w:bCs/>
                <w:color w:val="0D2B55"/>
                <w:sz w:val="26"/>
                <w:szCs w:val="26"/>
              </w:rPr>
              <w:t xml:space="preserve">基于大模型与因果推断的医院真实世界证据自动化生成平台</w:t>
            </w:r>
          </w:p>
          <w:p>
            <w:pPr>
              <w:spacing w:before="0" w:after="0"/>
              <w:jc w:val="center"/>
            </w:pPr>
            <w:r>
              <w:rPr>
                <w:rFonts w:ascii="SimSun" w:cs="SimSun" w:eastAsia="SimSun" w:hAnsi="SimSun"/>
                <w:color w:val="555555"/>
                <w:sz w:val="22"/>
                <w:szCs w:val="22"/>
              </w:rPr>
              <w:t xml:space="preserve">科技项目申报材料  /  孵化器入驻申请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560"/>
        <w:gridCol w:w="20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申报类型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技术方向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创新阶段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预期成果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0"/>
                <w:szCs w:val="20"/>
              </w:rPr>
              <w:t xml:space="preserve">科技创新项目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0"/>
                <w:szCs w:val="20"/>
              </w:rPr>
              <w:t xml:space="preserve">医疗AI / 真实世界研究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0"/>
                <w:szCs w:val="20"/>
              </w:rPr>
              <w:t xml:space="preserve">技术攻关 + 产业化示范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0"/>
                <w:szCs w:val="20"/>
              </w:rPr>
              <w:t xml:space="preserve">软著 × 3、发明专利 × 2、SCI × 5</w:t>
            </w:r>
          </w:p>
        </w:tc>
      </w:tr>
    </w:tbl>
    <w:p>
      <w:pPr>
        <w:spacing w:before="600" w:after="0"/>
      </w:pPr>
      <w:r>
        <w:t xml:space="preserve"/>
      </w:r>
    </w:p>
    <w:p>
      <w:pPr>
        <w:pStyle w:val="Heading1"/>
        <w:pBdr>
          <w:bottom w:val="single" w:color="1565C0" w:sz="6" w:space="3"/>
        </w:pBdr>
        <w:spacing w:before="400" w:after="120"/>
      </w:pPr>
      <w:r>
        <w:rPr>
          <w:rFonts w:ascii="Source Han Sans SC" w:cs="Source Han Sans SC" w:eastAsia="Source Han Sans SC" w:hAnsi="Source Han Sans SC"/>
          <w:b/>
          <w:bCs/>
          <w:color w:val="0D2B55"/>
          <w:sz w:val="32"/>
          <w:szCs w:val="32"/>
        </w:rPr>
        <w:t xml:space="preserve">一、项目背景与立项必要性</w:t>
      </w:r>
    </w:p>
    <w:p>
      <w:pPr>
        <w:pStyle w:val="Heading2"/>
        <w:spacing w:before="240" w:after="80"/>
      </w:pPr>
      <w:r>
        <w:rPr>
          <w:rFonts w:ascii="Source Han Sans SC" w:cs="Source Han Sans SC" w:eastAsia="Source Han Sans SC" w:hAnsi="Source Han Sans SC"/>
          <w:b/>
          <w:bCs/>
          <w:color w:val="1565C0"/>
          <w:sz w:val="26"/>
          <w:szCs w:val="26"/>
        </w:rPr>
        <w:t xml:space="preserve">1.1  国家政策导向</w:t>
      </w:r>
    </w:p>
    <w:p>
      <w:pPr>
        <w:spacing w:before="60" w:after="60" w:line="360" w:lineRule="auto"/>
        <w:ind/>
        <w:jc w:val="both"/>
      </w:pPr>
      <w:r>
        <w:rPr>
          <w:rFonts w:ascii="SimSun" w:cs="SimSun" w:eastAsia="SimSun" w:hAnsi="SimSun"/>
          <w:sz w:val="22"/>
          <w:szCs w:val="22"/>
        </w:rPr>
        <w:t xml:space="preserve">《健康中国2030》规划纲要明确提出「加快推进健康医疗大数据应用」与「推动医学科技创新」；国家「十四五」生物经济规划将医疗大数据与人工智能列为重点支持方向。然而，当前政策推进面临核心矛盾：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5100" w:sz="6"/>
              <w:left w:val="single" w:color="E65100" w:sz="12"/>
              <w:bottom w:val="single" w:color="E65100" w:sz="6"/>
              <w:right w:val="single" w:color="E65100" w:sz="2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医院数字化率高（三甲医院EMR覆盖率&gt;95%）</w:t>
            </w:r>
          </w:p>
          <w:p>
            <w:pPr>
              <w:spacing w:before="40" w:after="40"/>
            </w:pPr>
            <w:r>
              <w:rPr>
                <w:rFonts w:ascii="SimSun" w:cs="SimSun" w:eastAsia="SimSun" w:hAnsi="SimSun"/>
                <w:b/>
                <w:bCs/>
                <w:i w:val="false"/>
                <w:iCs w:val="false"/>
                <w:color w:val="E65100"/>
                <w:sz w:val="22"/>
                <w:szCs w:val="22"/>
              </w:rPr>
              <w:t xml:space="preserve">但医疗AI与科研转化率极低（&lt;3%的临床数据被用于研究）</w:t>
            </w:r>
          </w:p>
          <w:p>
            <w:pPr>
              <w:spacing w:before="40" w:after="40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核心瓶颈：数据有了，但缺乏将数据自动转化为医学证据的基础设施。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Source Han Sans SC" w:cs="Source Han Sans SC" w:eastAsia="Source Han Sans SC" w:hAnsi="Source Han Sans SC"/>
          <w:b/>
          <w:bCs/>
          <w:color w:val="1565C0"/>
          <w:sz w:val="26"/>
          <w:szCs w:val="26"/>
        </w:rPr>
        <w:t xml:space="preserve">1.2  行业痛点分析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痛点维度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现状描述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定量影响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科研效率低下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医生开展真实世界研究平均耗时3–6个月，数据清洗占70%工时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三甲医院人均SCI产出量仅0.3篇/年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数据质量差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非结构化病历占临床数据的75%以上，无法直接用于统计分析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研究结论可重复性差，撤稿率高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方法学门槛高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因果推断、生存分析等方法超出普通临床医生能力范围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RWE研究中混杂偏倚控制率不足40%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药企需求未满足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创新药企业RWE研究需求快速增长，但医院数据标准化难度极大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单项目协调周期6–18个月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Source Han Sans SC" w:cs="Source Han Sans SC" w:eastAsia="Source Han Sans SC" w:hAnsi="Source Han Sans SC"/>
          <w:b/>
          <w:bCs/>
          <w:color w:val="1565C0"/>
          <w:sz w:val="26"/>
          <w:szCs w:val="26"/>
        </w:rPr>
        <w:t xml:space="preserve">1.3  国产替代与自主创新需求</w:t>
      </w:r>
    </w:p>
    <w:p>
      <w:pPr>
        <w:spacing w:before="60" w:after="60" w:line="360" w:lineRule="auto"/>
        <w:ind/>
        <w:jc w:val="both"/>
      </w:pPr>
      <w:r>
        <w:rPr>
          <w:rFonts w:ascii="SimSun" w:cs="SimSun" w:eastAsia="SimSun" w:hAnsi="SimSun"/>
          <w:sz w:val="22"/>
          <w:szCs w:val="22"/>
        </w:rPr>
        <w:t xml:space="preserve">当前国内医疗研究平台高度依赖海外商业软件（SPSS、SAS、Stata等），年授权费用高、数据安全隐患大、本土化适配差。本项目将构建完全自主知识产权的医疗证据分析引擎，实现核心算法国产化，具有明确的战略替代价值。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565C0" w:sz="6" w:space="3"/>
        </w:pBdr>
        <w:spacing w:before="400" w:after="120"/>
      </w:pPr>
      <w:r>
        <w:rPr>
          <w:rFonts w:ascii="Source Han Sans SC" w:cs="Source Han Sans SC" w:eastAsia="Source Han Sans SC" w:hAnsi="Source Han Sans SC"/>
          <w:b/>
          <w:bCs/>
          <w:color w:val="0D2B55"/>
          <w:sz w:val="32"/>
          <w:szCs w:val="32"/>
        </w:rPr>
        <w:t xml:space="preserve">二、核心技术创新性</w:t>
      </w:r>
    </w:p>
    <w:p>
      <w:pPr>
        <w:pStyle w:val="Heading2"/>
        <w:spacing w:before="240" w:after="80"/>
      </w:pPr>
      <w:r>
        <w:rPr>
          <w:rFonts w:ascii="Source Han Sans SC" w:cs="Source Han Sans SC" w:eastAsia="Source Han Sans SC" w:hAnsi="Source Han Sans SC"/>
          <w:b/>
          <w:bCs/>
          <w:color w:val="1565C0"/>
          <w:sz w:val="26"/>
          <w:szCs w:val="26"/>
        </w:rPr>
        <w:t xml:space="preserve">2.1  技术创新点总览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565C0" w:sz="6"/>
              <w:left w:val="single" w:color="1565C0" w:sz="12"/>
              <w:bottom w:val="single" w:color="1565C0" w:sz="6"/>
              <w:right w:val="single" w:color="1565C0" w:sz="2"/>
            </w:tcBorders>
            <w:shd w:fill="E3F0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SimSun" w:cs="SimSun" w:eastAsia="SimSun" w:hAnsi="SimSun"/>
                <w:b/>
                <w:bCs/>
                <w:i w:val="false"/>
                <w:iCs w:val="false"/>
                <w:color w:val="0D2B55"/>
                <w:sz w:val="23"/>
                <w:szCs w:val="23"/>
              </w:rPr>
              <w:t xml:space="preserve">创新点一：医疗领域专用大语言模型（Medical-LLM）驱动的非结构化病历结构化引擎</w:t>
            </w:r>
          </w:p>
          <w:p>
            <w:pPr>
              <w:spacing w:before="40" w:after="40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突破：克服通用NLP在医疗语境下的语义漂移问题，ICD-10映射准确率&gt;92%</w:t>
            </w:r>
          </w:p>
          <w:p>
            <w:pPr>
              <w:spacing w:before="40" w:after="40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SimSun" w:cs="SimSun" w:eastAsia="SimSun" w:hAnsi="SimSun"/>
                <w:b/>
                <w:bCs/>
                <w:i w:val="false"/>
                <w:iCs w:val="false"/>
                <w:color w:val="0D2B55"/>
                <w:sz w:val="23"/>
                <w:szCs w:val="23"/>
              </w:rPr>
              <w:t xml:space="preserve">创新点二：基于因果图的自动化真实世界研究（Automated-RWE）引擎</w:t>
            </w:r>
          </w:p>
          <w:p>
            <w:pPr>
              <w:spacing w:before="40" w:after="40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突破：首次在中文医疗数据环境下实现全流程自动因果推断，消除人工选择偏差</w:t>
            </w:r>
          </w:p>
          <w:p>
            <w:pPr>
              <w:spacing w:before="40" w:after="40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SimSun" w:cs="SimSun" w:eastAsia="SimSun" w:hAnsi="SimSun"/>
                <w:b/>
                <w:bCs/>
                <w:i w:val="false"/>
                <w:iCs w:val="false"/>
                <w:color w:val="0D2B55"/>
                <w:sz w:val="23"/>
                <w:szCs w:val="23"/>
              </w:rPr>
              <w:t xml:space="preserve">创新点三：面向医疗数据的联邦学习隐私保护框架</w:t>
            </w:r>
          </w:p>
          <w:p>
            <w:pPr>
              <w:spacing w:before="40" w:after="40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突破：支持跨院数据协同分析，原始数据不出院，满足《数据安全法》合规要求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Source Han Sans SC" w:cs="Source Han Sans SC" w:eastAsia="Source Han Sans SC" w:hAnsi="Source Han Sans SC"/>
          <w:b/>
          <w:bCs/>
          <w:color w:val="1565C0"/>
          <w:sz w:val="26"/>
          <w:szCs w:val="26"/>
        </w:rPr>
        <w:t xml:space="preserve">2.2  技术壁垒分析（竞争护城河）</w:t>
      </w:r>
    </w:p>
    <w:p>
      <w:pPr>
        <w:spacing w:before="60" w:after="60" w:line="360" w:lineRule="auto"/>
        <w:ind/>
        <w:jc w:val="both"/>
      </w:pPr>
      <w:r>
        <w:rPr>
          <w:rFonts w:ascii="SimSun" w:cs="SimSun" w:eastAsia="SimSun" w:hAnsi="SimSun"/>
          <w:sz w:val="22"/>
          <w:szCs w:val="22"/>
        </w:rPr>
        <w:t xml:space="preserve">本项目技术壁垒由以下五个层次构成，任何单一维度均难以在12个月内被竞争者复制：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1560"/>
        <w:gridCol w:w="28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壁垒层次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核心内容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建立难度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竞争者复制周期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color w:val="1565C0"/>
                <w:sz w:val="20"/>
                <w:szCs w:val="20"/>
              </w:rPr>
              <w:t xml:space="preserve">数据壁垒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与合作医院的深度数据集成（非公开接口）及持续累积的标注语料库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极高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24个月+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color w:val="1565C0"/>
                <w:sz w:val="20"/>
                <w:szCs w:val="20"/>
              </w:rPr>
              <w:t xml:space="preserve">算法壁垒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基于10万+中文医疗文本训练的专科NLP模型（自主标注）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18–24个月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color w:val="1565C0"/>
                <w:sz w:val="20"/>
                <w:szCs w:val="20"/>
              </w:rPr>
              <w:t xml:space="preserve">方法学壁垒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融合因果图、PSM、IPW的自动偏倚校正流水线（发明专利保护）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12–18个月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color w:val="1565C0"/>
                <w:sz w:val="20"/>
                <w:szCs w:val="20"/>
              </w:rPr>
              <w:t xml:space="preserve">医学知识壁垒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内置肿瘤/心血管/ICU专病知识图谱（结合临床专家共识）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中高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12–18个月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color w:val="1565C0"/>
                <w:sz w:val="20"/>
                <w:szCs w:val="20"/>
              </w:rPr>
              <w:t xml:space="preserve">合规壁垒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通过三甲医院信息安全审查的联邦学习部署方案（行业首创）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极高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24个月+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Source Han Sans SC" w:cs="Source Han Sans SC" w:eastAsia="Source Han Sans SC" w:hAnsi="Source Han Sans SC"/>
          <w:b/>
          <w:bCs/>
          <w:color w:val="1565C0"/>
          <w:sz w:val="26"/>
          <w:szCs w:val="26"/>
        </w:rPr>
        <w:t xml:space="preserve">2.3  与现有技术方案对比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400"/>
        <w:gridCol w:w="2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对比维度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传统统计软件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现有医疗AI公司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Evidence Engine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非结构化病历处理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AA0000"/>
                <w:sz w:val="20"/>
                <w:szCs w:val="20"/>
              </w:rPr>
              <w:t xml:space="preserve">✗ 需人工清洗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B86000"/>
                <w:sz w:val="20"/>
                <w:szCs w:val="20"/>
              </w:rPr>
              <w:t xml:space="preserve">△ 通用NLP，医疗精度低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color w:val="005500"/>
                <w:sz w:val="20"/>
                <w:szCs w:val="20"/>
              </w:rPr>
              <w:t xml:space="preserve">✓ 专科医疗LLM，精度&gt;92%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因果推断能力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AA0000"/>
                <w:sz w:val="20"/>
                <w:szCs w:val="20"/>
              </w:rPr>
              <w:t xml:space="preserve">✗ 仅描述统计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AA0000"/>
                <w:sz w:val="20"/>
                <w:szCs w:val="20"/>
              </w:rPr>
              <w:t xml:space="preserve">✗ 不支持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color w:val="005500"/>
                <w:sz w:val="20"/>
                <w:szCs w:val="20"/>
              </w:rPr>
              <w:t xml:space="preserve">✓ 自动化因果推断引擎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研究报告自动生成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AA0000"/>
                <w:sz w:val="20"/>
                <w:szCs w:val="20"/>
              </w:rPr>
              <w:t xml:space="preserve">✗ 手动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B86000"/>
                <w:sz w:val="20"/>
                <w:szCs w:val="20"/>
              </w:rPr>
              <w:t xml:space="preserve">△ 部分可视化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color w:val="005500"/>
                <w:sz w:val="20"/>
                <w:szCs w:val="20"/>
              </w:rPr>
              <w:t xml:space="preserve">✓ 全流程报告（含方法学说明）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数据安全合规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B86000"/>
                <w:sz w:val="20"/>
                <w:szCs w:val="20"/>
              </w:rPr>
              <w:t xml:space="preserve">△ 数据外传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B86000"/>
                <w:sz w:val="20"/>
                <w:szCs w:val="20"/>
              </w:rPr>
              <w:t xml:space="preserve">△ 部分合规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color w:val="005500"/>
                <w:sz w:val="20"/>
                <w:szCs w:val="20"/>
              </w:rPr>
              <w:t xml:space="preserve">✓ 联邦学习，数据不出院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医生操作门槛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AA0000"/>
                <w:sz w:val="20"/>
                <w:szCs w:val="20"/>
              </w:rPr>
              <w:t xml:space="preserve">✗ 需统计背景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AA0000"/>
                <w:sz w:val="20"/>
                <w:szCs w:val="20"/>
              </w:rPr>
              <w:t xml:space="preserve">✗ 复杂配置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color w:val="005500"/>
                <w:sz w:val="20"/>
                <w:szCs w:val="20"/>
              </w:rPr>
              <w:t xml:space="preserve">✓ 自然语言交互，零代码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中文医疗适配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AA0000"/>
                <w:sz w:val="20"/>
                <w:szCs w:val="20"/>
              </w:rPr>
              <w:t xml:space="preserve">✗ 英文为主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B86000"/>
                <w:sz w:val="20"/>
                <w:szCs w:val="20"/>
              </w:rPr>
              <w:t xml:space="preserve">△ 部分适配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color w:val="005500"/>
                <w:sz w:val="20"/>
                <w:szCs w:val="20"/>
              </w:rPr>
              <w:t xml:space="preserve">✓ 全中文医疗语境优化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565C0" w:sz="6" w:space="3"/>
        </w:pBdr>
        <w:spacing w:before="400" w:after="120"/>
      </w:pPr>
      <w:r>
        <w:rPr>
          <w:rFonts w:ascii="Source Han Sans SC" w:cs="Source Han Sans SC" w:eastAsia="Source Han Sans SC" w:hAnsi="Source Han Sans SC"/>
          <w:b/>
          <w:bCs/>
          <w:color w:val="0D2B55"/>
          <w:sz w:val="32"/>
          <w:szCs w:val="32"/>
        </w:rPr>
        <w:t xml:space="preserve">三、产品设计与用户流程</w:t>
      </w:r>
    </w:p>
    <w:p>
      <w:pPr>
        <w:pStyle w:val="Heading2"/>
        <w:spacing w:before="240" w:after="80"/>
      </w:pPr>
      <w:r>
        <w:rPr>
          <w:rFonts w:ascii="Source Han Sans SC" w:cs="Source Han Sans SC" w:eastAsia="Source Han Sans SC" w:hAnsi="Source Han Sans SC"/>
          <w:b/>
          <w:bCs/>
          <w:color w:val="1565C0"/>
          <w:sz w:val="26"/>
          <w:szCs w:val="26"/>
        </w:rPr>
        <w:t xml:space="preserve">3.1  产品架构概述</w:t>
      </w:r>
    </w:p>
    <w:p>
      <w:pPr>
        <w:spacing w:before="60" w:after="60" w:line="360" w:lineRule="auto"/>
        <w:ind/>
        <w:jc w:val="both"/>
      </w:pPr>
      <w:r>
        <w:rPr>
          <w:rFonts w:ascii="SimSun" w:cs="SimSun" w:eastAsia="SimSun" w:hAnsi="SimSun"/>
          <w:sz w:val="22"/>
          <w:szCs w:val="22"/>
        </w:rPr>
        <w:t xml:space="preserve">Evidence Engine 由四个功能模块组成，形成从「原始数据→研究证据」的完整闭环：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400"/>
        <w:gridCol w:w="2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功能描述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核心技术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主要用户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0"/>
                <w:szCs w:val="20"/>
              </w:rPr>
              <w:t xml:space="preserve">M1  数据集成层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对接HIS/EMR/LIS/PACS，构建统一临床数据仓库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ETL管道 + HL7 FHIR标准化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IT工程师（一次性部署）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0"/>
                <w:szCs w:val="20"/>
              </w:rPr>
              <w:t xml:space="preserve">M2  NLP结构化引擎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提取非结构化病历中的临床变量（诊断/分期/用药等）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医疗专用LLM + 知识图谱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系统自动运行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0"/>
                <w:szCs w:val="20"/>
              </w:rPr>
              <w:t xml:space="preserve">M3  研究分析引擎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队列构建、偏倚校正、生存分析、Forest Plot生成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因果推断 + 统计算法库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临床研究医生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0"/>
                <w:szCs w:val="20"/>
              </w:rPr>
              <w:t xml:space="preserve">M4  证据输出层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生成结构化研究报告、KM曲线、发表级图表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模板引擎 + 自动叙述生成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医生 / 药企合作方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Source Han Sans SC" w:cs="Source Han Sans SC" w:eastAsia="Source Han Sans SC" w:hAnsi="Source Han Sans SC"/>
          <w:b/>
          <w:bCs/>
          <w:color w:val="1565C0"/>
          <w:sz w:val="26"/>
          <w:szCs w:val="26"/>
        </w:rPr>
        <w:t xml:space="preserve">3.2  核心用户流程（医生视角）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565C0" w:sz="6"/>
              <w:left w:val="single" w:color="1565C0" w:sz="12"/>
              <w:bottom w:val="single" w:color="1565C0" w:sz="6"/>
              <w:right w:val="single" w:color="1565C0" w:sz="2"/>
            </w:tcBorders>
            <w:shd w:fill="E3F0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SimSun" w:cs="SimSun" w:eastAsia="SimSun" w:hAnsi="SimSun"/>
                <w:b/>
                <w:bCs/>
                <w:i w:val="false"/>
                <w:iCs w:val="false"/>
                <w:color w:val="0D2B55"/>
                <w:sz w:val="22"/>
                <w:szCs w:val="22"/>
              </w:rPr>
              <w:t xml:space="preserve">【用户故事】某三甲医院肿瘤科医生需要研究：</w:t>
            </w:r>
          </w:p>
          <w:p>
            <w:pPr>
              <w:spacing w:before="40" w:after="40"/>
            </w:pPr>
            <w:r>
              <w:rPr>
                <w:rFonts w:ascii="SimSun" w:cs="SimSun" w:eastAsia="SimSun" w:hAnsi="SimSun"/>
                <w:b w:val="false"/>
                <w:bCs w:val="false"/>
                <w:i/>
                <w:iCs/>
                <w:color w:val="000000"/>
                <w:sz w:val="22"/>
                <w:szCs w:val="22"/>
              </w:rPr>
              <w:t xml:space="preserve">EGFR突变IV期肺癌患者中，PD-1联合化疗 vs 靶向单药的总生存差异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3200"/>
        <w:gridCol w:w="1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用户操作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系统处理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耗时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color w:val="1565C0"/>
                <w:sz w:val="20"/>
                <w:szCs w:val="20"/>
              </w:rPr>
              <w:t xml:space="preserve">Step 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用自然语言输入研究问题，选择时间范围和数据来源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NLP解析研究意图，生成结构化查询条件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30秒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color w:val="1565C0"/>
                <w:sz w:val="20"/>
                <w:szCs w:val="20"/>
              </w:rPr>
              <w:t xml:space="preserve">Step 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系统预览候选队列（N=XXX），点击确认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自动筛选符合条件患者，展示基线特征分布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20秒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color w:val="1565C0"/>
                <w:sz w:val="20"/>
                <w:szCs w:val="20"/>
              </w:rPr>
              <w:t xml:space="preserve">Step 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查看自动识别的混杂因素列表，可手动补充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NLP提取混杂变量，提示遗漏项目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1分钟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color w:val="1565C0"/>
                <w:sz w:val="20"/>
                <w:szCs w:val="20"/>
              </w:rPr>
              <w:t xml:space="preserve">Step 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选择统计方法（系统推荐PSM），点击运行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执行倾向评分匹配 + K-M生存分析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2分钟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color w:val="1565C0"/>
                <w:sz w:val="20"/>
                <w:szCs w:val="20"/>
              </w:rPr>
              <w:t xml:space="preserve">Step 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下载研究报告（含方法学说明和图表）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生成Methods节草稿 + 发表级图表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30秒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0"/>
                <w:szCs w:val="20"/>
              </w:rPr>
              <w:t xml:space="preserve">总计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完整流程：约 5 分钟（对比传统：3–6 个月）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color w:val="00897B"/>
                <w:sz w:val="20"/>
                <w:szCs w:val="20"/>
              </w:rPr>
              <w:t xml:space="preserve">效率提升：&gt;1000×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5分钟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Source Han Sans SC" w:cs="Source Han Sans SC" w:eastAsia="Source Han Sans SC" w:hAnsi="Source Han Sans SC"/>
          <w:b/>
          <w:bCs/>
          <w:color w:val="1565C0"/>
          <w:sz w:val="26"/>
          <w:szCs w:val="26"/>
        </w:rPr>
        <w:t xml:space="preserve">3.3  知识产权规划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1960"/>
        <w:gridCol w:w="20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知识产权类型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具体内容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预计完成时间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保护策略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发明专利（1）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医疗非结构化文本自动结构化方法及系统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第6个月申请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核心算法专利，优先申请PCT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发明专利（2）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基于因果图的真实世界研究自动分析方法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第12个月申请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方法学核心，国内+欧美布局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软件著作权（1）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Evidence Engine 数据集成与管理平台V1.0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第3个月登记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快速确权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软件著作权（2）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医疗研究自动分析引擎V1.0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第8个月登记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持续版本更新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软件著作权（3）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临床证据报告自动生成系统V1.0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第12个月登记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与期刊合作验证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商标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Evidence Engine 品牌商标（医疗软件类）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第2个月申请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品牌保护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565C0" w:sz="6" w:space="3"/>
        </w:pBdr>
        <w:spacing w:before="400" w:after="120"/>
      </w:pPr>
      <w:r>
        <w:rPr>
          <w:rFonts w:ascii="Source Han Sans SC" w:cs="Source Han Sans SC" w:eastAsia="Source Han Sans SC" w:hAnsi="Source Han Sans SC"/>
          <w:b/>
          <w:bCs/>
          <w:color w:val="0D2B55"/>
          <w:sz w:val="32"/>
          <w:szCs w:val="32"/>
        </w:rPr>
        <w:t xml:space="preserve">四、市场分析与应用场景</w:t>
      </w:r>
    </w:p>
    <w:p>
      <w:pPr>
        <w:pStyle w:val="Heading2"/>
        <w:spacing w:before="240" w:after="80"/>
      </w:pPr>
      <w:r>
        <w:rPr>
          <w:rFonts w:ascii="Source Han Sans SC" w:cs="Source Han Sans SC" w:eastAsia="Source Han Sans SC" w:hAnsi="Source Han Sans SC"/>
          <w:b/>
          <w:bCs/>
          <w:color w:val="1565C0"/>
          <w:sz w:val="26"/>
          <w:szCs w:val="26"/>
        </w:rPr>
        <w:t xml:space="preserve">4.1  目标市场规模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0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SimSun" w:cs="SimSun" w:eastAsia="SimSun" w:hAnsi="SimSun"/>
                <w:b/>
                <w:bCs/>
                <w:color w:val="0D2B55"/>
                <w:sz w:val="24"/>
                <w:szCs w:val="24"/>
              </w:rPr>
              <w:t xml:space="preserve">医院端市场</w:t>
            </w:r>
          </w:p>
          <w:p>
            <w:pPr>
              <w:spacing w:before="0" w:after="40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全国三甲医院：约1,500家</w:t>
            </w:r>
          </w:p>
          <w:p>
            <w:pPr>
              <w:spacing w:before="0" w:after="40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部署费用：80–150万/家</w:t>
            </w:r>
          </w:p>
          <w:p>
            <w:pPr>
              <w:spacing w:before="0" w:after="40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年服务费：20–30万/年</w:t>
            </w:r>
          </w:p>
          <w:p>
            <w:pPr>
              <w:spacing w:before="40" w:after="0"/>
            </w:pPr>
            <w:r>
              <w:t xml:space="preserve"/>
            </w:r>
          </w:p>
          <w:p>
            <w:pPr>
              <w:spacing w:before="0" w:after="0"/>
            </w:pPr>
            <w:r>
              <w:rPr>
                <w:rFonts w:ascii="SimSun" w:cs="SimSun" w:eastAsia="SimSun" w:hAnsi="SimSun"/>
                <w:b/>
                <w:bCs/>
                <w:color w:val="1565C0"/>
                <w:sz w:val="22"/>
                <w:szCs w:val="22"/>
              </w:rPr>
              <w:t xml:space="preserve">TAM（医院端）：约150亿元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SimSun" w:cs="SimSun" w:eastAsia="SimSun" w:hAnsi="SimSun"/>
                <w:b/>
                <w:bCs/>
                <w:color w:val="0D2B55"/>
                <w:sz w:val="24"/>
                <w:szCs w:val="24"/>
              </w:rPr>
              <w:t xml:space="preserve">药企RWE市场</w:t>
            </w:r>
          </w:p>
          <w:p>
            <w:pPr>
              <w:spacing w:before="0" w:after="40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国内创新药企：约2,000家</w:t>
            </w:r>
          </w:p>
          <w:p>
            <w:pPr>
              <w:spacing w:before="0" w:after="40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单项目费用：100–500万</w:t>
            </w:r>
          </w:p>
          <w:p>
            <w:pPr>
              <w:spacing w:before="0" w:after="40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每家年均项目：3–5个</w:t>
            </w:r>
          </w:p>
          <w:p>
            <w:pPr>
              <w:spacing w:before="40" w:after="0"/>
            </w:pPr>
            <w:r>
              <w:t xml:space="preserve"/>
            </w:r>
          </w:p>
          <w:p>
            <w:pPr>
              <w:spacing w:before="0" w:after="0"/>
            </w:pPr>
            <w:r>
              <w:rPr>
                <w:rFonts w:ascii="SimSun" w:cs="SimSun" w:eastAsia="SimSun" w:hAnsi="SimSun"/>
                <w:b/>
                <w:bCs/>
                <w:color w:val="00897B"/>
                <w:sz w:val="22"/>
                <w:szCs w:val="22"/>
              </w:rPr>
              <w:t xml:space="preserve">TAM（药企端）：约50亿元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Source Han Sans SC" w:cs="Source Han Sans SC" w:eastAsia="Source Han Sans SC" w:hAnsi="Source Han Sans SC"/>
          <w:b/>
          <w:bCs/>
          <w:color w:val="1565C0"/>
          <w:sz w:val="26"/>
          <w:szCs w:val="26"/>
        </w:rPr>
        <w:t xml:space="preserve">4.2  重点应用场景</w:t>
      </w:r>
    </w:p>
    <w:p>
      <w:pPr>
        <w:pStyle w:val="ListParagraph"/>
        <w:numPr>
          <w:ilvl w:val="0"/>
          <w:numId w:val="2"/>
        </w:numPr>
        <w:spacing w:before="40" w:after="40" w:line="320" w:lineRule="auto"/>
      </w:pPr>
      <w:r>
        <w:rPr>
          <w:rFonts w:ascii="SimSun" w:cs="SimSun" w:eastAsia="SimSun" w:hAnsi="SimSun"/>
          <w:b w:val="false"/>
          <w:bCs w:val="false"/>
          <w:color w:val="000000"/>
          <w:sz w:val="22"/>
          <w:szCs w:val="22"/>
        </w:rPr>
        <w:t xml:space="preserve">三甲医院科研提速：帮助临床医生将RWE研究周期从3–6个月压缩至1周内，服务医院科研KPI考核</w:t>
      </w:r>
    </w:p>
    <w:p>
      <w:pPr>
        <w:pStyle w:val="ListParagraph"/>
        <w:numPr>
          <w:ilvl w:val="0"/>
          <w:numId w:val="2"/>
        </w:numPr>
        <w:spacing w:before="40" w:after="40" w:line="320" w:lineRule="auto"/>
      </w:pPr>
      <w:r>
        <w:rPr>
          <w:rFonts w:ascii="SimSun" w:cs="SimSun" w:eastAsia="SimSun" w:hAnsi="SimSun"/>
          <w:b w:val="false"/>
          <w:bCs w:val="false"/>
          <w:color w:val="000000"/>
          <w:sz w:val="22"/>
          <w:szCs w:val="22"/>
        </w:rPr>
        <w:t xml:space="preserve">创新药医保谈判证据：为药企提供基于真实世界数据的疗效证据，支持国家医保谈判材料</w:t>
      </w:r>
    </w:p>
    <w:p>
      <w:pPr>
        <w:pStyle w:val="ListParagraph"/>
        <w:numPr>
          <w:ilvl w:val="0"/>
          <w:numId w:val="2"/>
        </w:numPr>
        <w:spacing w:before="40" w:after="40" w:line="320" w:lineRule="auto"/>
      </w:pPr>
      <w:r>
        <w:rPr>
          <w:rFonts w:ascii="SimSun" w:cs="SimSun" w:eastAsia="SimSun" w:hAnsi="SimSun"/>
          <w:b w:val="false"/>
          <w:bCs w:val="false"/>
          <w:color w:val="000000"/>
          <w:sz w:val="22"/>
          <w:szCs w:val="22"/>
        </w:rPr>
        <w:t xml:space="preserve">临床指南更新：为专科学会提供大样本真实世界数据，支持循证指南制修订</w:t>
      </w:r>
    </w:p>
    <w:p>
      <w:pPr>
        <w:pStyle w:val="ListParagraph"/>
        <w:numPr>
          <w:ilvl w:val="0"/>
          <w:numId w:val="2"/>
        </w:numPr>
        <w:spacing w:before="40" w:after="40" w:line="320" w:lineRule="auto"/>
      </w:pPr>
      <w:r>
        <w:rPr>
          <w:rFonts w:ascii="SimSun" w:cs="SimSun" w:eastAsia="SimSun" w:hAnsi="SimSun"/>
          <w:b w:val="false"/>
          <w:bCs w:val="false"/>
          <w:color w:val="000000"/>
          <w:sz w:val="22"/>
          <w:szCs w:val="22"/>
        </w:rPr>
        <w:t xml:space="preserve">新药上市后研究（IVS/RWS）：FDA/NMPA要求的上市后研究需求（强制政策驱动）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565C0" w:sz="6" w:space="3"/>
        </w:pBdr>
        <w:spacing w:before="400" w:after="120"/>
      </w:pPr>
      <w:r>
        <w:rPr>
          <w:rFonts w:ascii="Source Han Sans SC" w:cs="Source Han Sans SC" w:eastAsia="Source Han Sans SC" w:hAnsi="Source Han Sans SC"/>
          <w:b/>
          <w:bCs/>
          <w:color w:val="0D2B55"/>
          <w:sz w:val="32"/>
          <w:szCs w:val="32"/>
        </w:rPr>
        <w:t xml:space="preserve">五、竞争格局与差异化定位</w:t>
      </w:r>
    </w:p>
    <w:p>
      <w:pPr>
        <w:pStyle w:val="Heading2"/>
        <w:spacing w:before="240" w:after="80"/>
      </w:pPr>
      <w:r>
        <w:rPr>
          <w:rFonts w:ascii="Source Han Sans SC" w:cs="Source Han Sans SC" w:eastAsia="Source Han Sans SC" w:hAnsi="Source Han Sans SC"/>
          <w:b/>
          <w:bCs/>
          <w:color w:val="1565C0"/>
          <w:sz w:val="26"/>
          <w:szCs w:val="26"/>
        </w:rPr>
        <w:t xml:space="preserve">5.1  竞争格局地图</w:t>
      </w:r>
    </w:p>
    <w:p>
      <w:pPr>
        <w:spacing w:before="60" w:after="60" w:line="360" w:lineRule="auto"/>
        <w:ind/>
        <w:jc w:val="both"/>
      </w:pPr>
      <w:r>
        <w:rPr>
          <w:rFonts w:ascii="SimSun" w:cs="SimSun" w:eastAsia="SimSun" w:hAnsi="SimSun"/>
          <w:sz w:val="22"/>
          <w:szCs w:val="22"/>
        </w:rPr>
        <w:t xml:space="preserve">当前市场参与者可分为四类，各有明显局限：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600"/>
        <w:gridCol w:w="2200"/>
        <w:gridCol w:w="21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竞争类型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代表企业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优势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核心局限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Evidence Engine差异化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传统信息化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东华软件、卫宁健康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医院渠道强、存量大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不做科研分析，纯数据系统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科研分析能力完全互补，可共存或合作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医疗AI平台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医渡科技、零氪科技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资金雄厚、AI能力强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平台复杂、研究门槛高、中文适配弱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面向医生端，极简操作，中文医疗专项优化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CRO服务机构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IQVIA、泰格医药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方法学专业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人力密集、慢、贵（百万/项目）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自动化替代，成本降低10×，速度提升100×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海外软件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Flatiron Health、Veeva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产品成熟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数据出境风险、价格高、中文支持差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国产自主、数据不出院、中文优先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Source Han Sans SC" w:cs="Source Han Sans SC" w:eastAsia="Source Han Sans SC" w:hAnsi="Source Han Sans SC"/>
          <w:b/>
          <w:bCs/>
          <w:color w:val="1565C0"/>
          <w:sz w:val="26"/>
          <w:szCs w:val="26"/>
        </w:rPr>
        <w:t xml:space="preserve">5.2  核心竞争壁垒（可持续性分析）</w:t>
      </w:r>
    </w:p>
    <w:p>
      <w:pPr>
        <w:spacing w:before="60" w:after="60" w:line="360" w:lineRule="auto"/>
        <w:ind/>
        <w:jc w:val="both"/>
      </w:pPr>
      <w:r>
        <w:rPr>
          <w:rFonts w:ascii="SimSun" w:cs="SimSun" w:eastAsia="SimSun" w:hAnsi="SimSun"/>
          <w:sz w:val="22"/>
          <w:szCs w:val="22"/>
        </w:rPr>
        <w:t xml:space="preserve">Evidence Engine 的竞争优势具备强自我强化属性，形成「数据飞轮效应」：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565C0" w:sz="6"/>
              <w:left w:val="single" w:color="1565C0" w:sz="12"/>
              <w:bottom w:val="single" w:color="1565C0" w:sz="6"/>
              <w:right w:val="single" w:color="1565C0" w:sz="2"/>
            </w:tcBorders>
            <w:shd w:fill="E3F0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SimSun" w:cs="SimSun" w:eastAsia="SimSun" w:hAnsi="SimSun"/>
                <w:b/>
                <w:bCs/>
                <w:i w:val="false"/>
                <w:iCs w:val="false"/>
                <w:color w:val="0D2B55"/>
                <w:sz w:val="22"/>
                <w:szCs w:val="22"/>
              </w:rPr>
              <w:t xml:space="preserve">数据飞轮逻辑：</w:t>
            </w:r>
          </w:p>
          <w:p>
            <w:pPr>
              <w:spacing w:before="40" w:after="40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更多医院部署  →  更多标注数据  →  NLP模型更准确  →  医生更满意  →  更多医院推荐部署</w:t>
            </w:r>
          </w:p>
          <w:p>
            <w:pPr>
              <w:spacing w:before="40" w:after="40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SimSun" w:cs="SimSun" w:eastAsia="SimSun" w:hAnsi="SimSun"/>
                <w:b w:val="false"/>
                <w:bCs w:val="false"/>
                <w:i/>
                <w:iCs/>
                <w:color w:val="000000"/>
                <w:sz w:val="22"/>
                <w:szCs w:val="22"/>
              </w:rPr>
              <w:t xml:space="preserve">这一正向循环使先发优势具有强烈的时间价值——越晚进入的竞争者面临的标注数据差距越大。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565C0" w:sz="6" w:space="3"/>
        </w:pBdr>
        <w:spacing w:before="400" w:after="120"/>
      </w:pPr>
      <w:r>
        <w:rPr>
          <w:rFonts w:ascii="Source Han Sans SC" w:cs="Source Han Sans SC" w:eastAsia="Source Han Sans SC" w:hAnsi="Source Han Sans SC"/>
          <w:b/>
          <w:bCs/>
          <w:color w:val="0D2B55"/>
          <w:sz w:val="32"/>
          <w:szCs w:val="32"/>
        </w:rPr>
        <w:t xml:space="preserve">六、商业模式设计</w:t>
      </w:r>
    </w:p>
    <w:p>
      <w:pPr>
        <w:pStyle w:val="Heading2"/>
        <w:spacing w:before="240" w:after="80"/>
      </w:pPr>
      <w:r>
        <w:rPr>
          <w:rFonts w:ascii="Source Han Sans SC" w:cs="Source Han Sans SC" w:eastAsia="Source Han Sans SC" w:hAnsi="Source Han Sans SC"/>
          <w:b/>
          <w:bCs/>
          <w:color w:val="1565C0"/>
          <w:sz w:val="26"/>
          <w:szCs w:val="26"/>
        </w:rPr>
        <w:t xml:space="preserve">6.1  三层收入结构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1800"/>
        <w:gridCol w:w="1400"/>
        <w:gridCol w:w="1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收入层次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服务内容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定价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毛利率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战略价值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0"/>
                <w:szCs w:val="20"/>
              </w:rPr>
              <w:t xml:space="preserve">第一层：平台部署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Evidence Engine 私有化部署至医院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80–150万/医院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70%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建立数据壁垒和渠道锁定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0"/>
                <w:szCs w:val="20"/>
              </w:rPr>
              <w:t xml:space="preserve">第二层：年度服务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持续数据更新、算法升级、论文支持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20–30万/年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85%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现金流稳定，高黏性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0"/>
                <w:szCs w:val="20"/>
              </w:rPr>
              <w:t xml:space="preserve">第三层：药企项目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基于医院网络开展RWE研究项目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100–500万/项目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60%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高客单价，利润最大化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Source Han Sans SC" w:cs="Source Han Sans SC" w:eastAsia="Source Han Sans SC" w:hAnsi="Source Han Sans SC"/>
          <w:b/>
          <w:bCs/>
          <w:color w:val="1565C0"/>
          <w:sz w:val="26"/>
          <w:szCs w:val="26"/>
        </w:rPr>
        <w:t xml:space="preserve">6.2  关键财务指标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600"/>
        <w:gridCol w:w="16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指标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Year 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Year 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Year 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备注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18"/>
                <w:szCs w:val="18"/>
              </w:rPr>
              <w:t xml:space="preserve">合作医院数量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18"/>
                <w:szCs w:val="18"/>
              </w:rPr>
              <w:t xml:space="preserve">8–10家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18"/>
                <w:szCs w:val="18"/>
              </w:rPr>
              <w:t xml:space="preserve">30–50家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18"/>
                <w:szCs w:val="18"/>
              </w:rPr>
              <w:t xml:space="preserve">150–200家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18"/>
                <w:szCs w:val="18"/>
              </w:rPr>
              <w:t xml:space="preserve">以华东头部三甲为首批切入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12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18"/>
                <w:szCs w:val="18"/>
              </w:rPr>
              <w:t xml:space="preserve">医院端收入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12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18"/>
                <w:szCs w:val="18"/>
              </w:rPr>
              <w:t xml:space="preserve">600–800万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12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18"/>
                <w:szCs w:val="18"/>
              </w:rPr>
              <w:t xml:space="preserve">2000–4000万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12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18"/>
                <w:szCs w:val="18"/>
              </w:rPr>
              <w:t xml:space="preserve">1.2–2亿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12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18"/>
                <w:szCs w:val="18"/>
              </w:rPr>
              <w:t xml:space="preserve">含部署费+年服务费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18"/>
                <w:szCs w:val="18"/>
              </w:rPr>
              <w:t xml:space="preserve">药企项目收入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18"/>
                <w:szCs w:val="18"/>
              </w:rPr>
              <w:t xml:space="preserve">200–400万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18"/>
                <w:szCs w:val="18"/>
              </w:rPr>
              <w:t xml:space="preserve">1000–2000万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18"/>
                <w:szCs w:val="18"/>
              </w:rPr>
              <w:t xml:space="preserve">5000万–1亿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18"/>
                <w:szCs w:val="18"/>
              </w:rPr>
              <w:t xml:space="preserve">取决于医院网络规模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12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18"/>
                <w:szCs w:val="18"/>
              </w:rPr>
              <w:t xml:space="preserve">总营收（保守）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12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18"/>
                <w:szCs w:val="18"/>
              </w:rPr>
              <w:t xml:space="preserve">800万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12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18"/>
                <w:szCs w:val="18"/>
              </w:rPr>
              <w:t xml:space="preserve">3000万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12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18"/>
                <w:szCs w:val="18"/>
              </w:rPr>
              <w:t xml:space="preserve">1.5亿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12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18"/>
                <w:szCs w:val="18"/>
              </w:rPr>
              <w:t xml:space="preserve">综合毛利率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18"/>
                <w:szCs w:val="18"/>
              </w:rPr>
              <w:t xml:space="preserve">65%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18"/>
                <w:szCs w:val="18"/>
              </w:rPr>
              <w:t xml:space="preserve">72%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18"/>
                <w:szCs w:val="18"/>
              </w:rPr>
              <w:t xml:space="preserve">78%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18"/>
                <w:szCs w:val="18"/>
              </w:rPr>
              <w:t xml:space="preserve">随规模提升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12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18"/>
                <w:szCs w:val="18"/>
              </w:rPr>
              <w:t xml:space="preserve">研发投入占比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12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18"/>
                <w:szCs w:val="18"/>
              </w:rPr>
              <w:t xml:space="preserve">45%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12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18"/>
                <w:szCs w:val="18"/>
              </w:rPr>
              <w:t xml:space="preserve">30%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12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18"/>
                <w:szCs w:val="18"/>
              </w:rPr>
              <w:t xml:space="preserve">20%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50"/>
              <w:left w:type="dxa" w:w="12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18"/>
                <w:szCs w:val="18"/>
              </w:rPr>
              <w:t xml:space="preserve">持续核心技术迭代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565C0" w:sz="6" w:space="3"/>
        </w:pBdr>
        <w:spacing w:before="400" w:after="120"/>
      </w:pPr>
      <w:r>
        <w:rPr>
          <w:rFonts w:ascii="Source Han Sans SC" w:cs="Source Han Sans SC" w:eastAsia="Source Han Sans SC" w:hAnsi="Source Han Sans SC"/>
          <w:b/>
          <w:bCs/>
          <w:color w:val="0D2B55"/>
          <w:sz w:val="32"/>
          <w:szCs w:val="32"/>
        </w:rPr>
        <w:t xml:space="preserve">七、项目经费预算（政府课题版）</w:t>
      </w:r>
    </w:p>
    <w:p>
      <w:pPr>
        <w:pStyle w:val="Heading2"/>
        <w:spacing w:before="240" w:after="80"/>
      </w:pPr>
      <w:r>
        <w:rPr>
          <w:rFonts w:ascii="Source Han Sans SC" w:cs="Source Han Sans SC" w:eastAsia="Source Han Sans SC" w:hAnsi="Source Han Sans SC"/>
          <w:b/>
          <w:bCs/>
          <w:color w:val="1565C0"/>
          <w:sz w:val="26"/>
          <w:szCs w:val="26"/>
        </w:rPr>
        <w:t xml:space="preserve">7.1  总体经费规模</w:t>
      </w:r>
    </w:p>
    <w:p>
      <w:pPr>
        <w:spacing w:before="60" w:after="60" w:line="360" w:lineRule="auto"/>
        <w:ind/>
        <w:jc w:val="both"/>
      </w:pPr>
      <w:r>
        <w:rPr>
          <w:rFonts w:ascii="SimSun" w:cs="SimSun" w:eastAsia="SimSun" w:hAnsi="SimSun"/>
          <w:sz w:val="22"/>
          <w:szCs w:val="22"/>
        </w:rPr>
        <w:t xml:space="preserve">本项目申请周期为三年（36个月），分两期拨付，建议总申请经费规模：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2B55" w:sz="6"/>
              <w:left w:val="single" w:color="0D2B55" w:sz="12"/>
              <w:bottom w:val="single" w:color="0D2B55" w:sz="6"/>
              <w:right w:val="single" w:color="0D2B55" w:sz="2"/>
            </w:tcBorders>
            <w:shd w:fill="E3F0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SimSun" w:cs="SimSun" w:eastAsia="SimSun" w:hAnsi="SimSun"/>
                <w:b/>
                <w:bCs/>
                <w:i w:val="false"/>
                <w:iCs w:val="false"/>
                <w:color w:val="0D2B55"/>
                <w:sz w:val="26"/>
                <w:szCs w:val="26"/>
              </w:rPr>
              <w:t xml:space="preserve">建议申请经费：600万元人民币</w:t>
            </w:r>
          </w:p>
          <w:p>
            <w:pPr>
              <w:spacing w:before="40" w:after="40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第一期（1–18个月）：350万元  |  第二期（19–36个月）：250万元</w:t>
            </w:r>
          </w:p>
          <w:p>
            <w:pPr>
              <w:spacing w:before="40" w:after="40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配套自筹资金：400万元（企业自筹）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Source Han Sans SC" w:cs="Source Han Sans SC" w:eastAsia="Source Han Sans SC" w:hAnsi="Source Han Sans SC"/>
          <w:b/>
          <w:bCs/>
          <w:color w:val="1565C0"/>
          <w:sz w:val="26"/>
          <w:szCs w:val="26"/>
        </w:rPr>
        <w:t xml:space="preserve">7.2  经费使用明细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16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科目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用途说明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金额（万元）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占比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0"/>
                <w:szCs w:val="20"/>
              </w:rPr>
              <w:t xml:space="preserve">一、人员费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核心研发团队薪酬（AI工程师×4、医学数据科学家×2、临床顾问×1）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220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36.7%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0"/>
                <w:szCs w:val="20"/>
              </w:rPr>
              <w:t xml:space="preserve">二、设备费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GPU服务器（A100×4）、存储系统、网络安全设备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80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13.3%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0"/>
                <w:szCs w:val="20"/>
              </w:rPr>
              <w:t xml:space="preserve">三、材料费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医疗语料库标注费用、云服务资源、开源软件许可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60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0"/>
                <w:szCs w:val="20"/>
              </w:rPr>
              <w:t xml:space="preserve">四、测试验证费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临床试验平台使用费、第三方安全评测、医院系统集成调试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80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13.3%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0"/>
                <w:szCs w:val="20"/>
              </w:rPr>
              <w:t xml:space="preserve">五、差旅与会议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学术会议参会、合作医院对接出差、国际交流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5%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0"/>
                <w:szCs w:val="20"/>
              </w:rPr>
              <w:t xml:space="preserve">六、知识产权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专利申请、商标注册、软件著作权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3.3%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0"/>
                <w:szCs w:val="20"/>
              </w:rPr>
              <w:t xml:space="preserve">七、管理费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项目管理、审计、间接成本（不超过经费的10%）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60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0"/>
                <w:szCs w:val="20"/>
              </w:rPr>
              <w:t xml:space="preserve">八、成果转化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产品发布、市场推广、产业化示范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50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8.4%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0"/>
                <w:szCs w:val="20"/>
              </w:rPr>
              <w:t xml:space="preserve">合计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color w:val="0D2B55"/>
                <w:sz w:val="20"/>
                <w:szCs w:val="20"/>
              </w:rPr>
              <w:t xml:space="preserve">600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0"/>
                <w:szCs w:val="20"/>
              </w:rPr>
              <w:t xml:space="preserve">100%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Source Han Sans SC" w:cs="Source Han Sans SC" w:eastAsia="Source Han Sans SC" w:hAnsi="Source Han Sans SC"/>
          <w:b/>
          <w:bCs/>
          <w:color w:val="1565C0"/>
          <w:sz w:val="26"/>
          <w:szCs w:val="26"/>
        </w:rPr>
        <w:t xml:space="preserve">7.3  经费使用原则</w:t>
      </w:r>
    </w:p>
    <w:p>
      <w:pPr>
        <w:pStyle w:val="ListParagraph"/>
        <w:numPr>
          <w:ilvl w:val="0"/>
          <w:numId w:val="2"/>
        </w:numPr>
        <w:spacing w:before="40" w:after="40" w:line="320" w:lineRule="auto"/>
      </w:pPr>
      <w:r>
        <w:rPr>
          <w:rFonts w:ascii="SimSun" w:cs="SimSun" w:eastAsia="SimSun" w:hAnsi="SimSun"/>
          <w:b w:val="false"/>
          <w:bCs w:val="false"/>
          <w:color w:val="000000"/>
          <w:sz w:val="22"/>
          <w:szCs w:val="22"/>
        </w:rPr>
        <w:t xml:space="preserve">严格按照《科研项目经费管理办法》执行，单笔5万元以上支出经项目负责人审批；</w:t>
      </w:r>
    </w:p>
    <w:p>
      <w:pPr>
        <w:pStyle w:val="ListParagraph"/>
        <w:numPr>
          <w:ilvl w:val="0"/>
          <w:numId w:val="2"/>
        </w:numPr>
        <w:spacing w:before="40" w:after="40" w:line="320" w:lineRule="auto"/>
      </w:pPr>
      <w:r>
        <w:rPr>
          <w:rFonts w:ascii="SimSun" w:cs="SimSun" w:eastAsia="SimSun" w:hAnsi="SimSun"/>
          <w:b w:val="false"/>
          <w:bCs w:val="false"/>
          <w:color w:val="000000"/>
          <w:sz w:val="22"/>
          <w:szCs w:val="22"/>
        </w:rPr>
        <w:t xml:space="preserve">设备购置采用政府采购流程，优先采购国产自主品牌；</w:t>
      </w:r>
    </w:p>
    <w:p>
      <w:pPr>
        <w:pStyle w:val="ListParagraph"/>
        <w:numPr>
          <w:ilvl w:val="0"/>
          <w:numId w:val="2"/>
        </w:numPr>
        <w:spacing w:before="40" w:after="40" w:line="320" w:lineRule="auto"/>
      </w:pPr>
      <w:r>
        <w:rPr>
          <w:rFonts w:ascii="SimSun" w:cs="SimSun" w:eastAsia="SimSun" w:hAnsi="SimSun"/>
          <w:b w:val="false"/>
          <w:bCs w:val="false"/>
          <w:color w:val="000000"/>
          <w:sz w:val="22"/>
          <w:szCs w:val="22"/>
        </w:rPr>
        <w:t xml:space="preserve">人员费纳入项目绩效考核体系，与科研成果挂钩；</w:t>
      </w:r>
    </w:p>
    <w:p>
      <w:pPr>
        <w:pStyle w:val="ListParagraph"/>
        <w:numPr>
          <w:ilvl w:val="0"/>
          <w:numId w:val="2"/>
        </w:numPr>
        <w:spacing w:before="40" w:after="40" w:line="320" w:lineRule="auto"/>
      </w:pPr>
      <w:r>
        <w:rPr>
          <w:rFonts w:ascii="SimSun" w:cs="SimSun" w:eastAsia="SimSun" w:hAnsi="SimSun"/>
          <w:b w:val="false"/>
          <w:bCs w:val="false"/>
          <w:color w:val="000000"/>
          <w:sz w:val="22"/>
          <w:szCs w:val="22"/>
        </w:rPr>
        <w:t xml:space="preserve">年度经费执行进度目标：第一年≥80%，第二年≥90%，第三年100%。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565C0" w:sz="6" w:space="3"/>
        </w:pBdr>
        <w:spacing w:before="400" w:after="120"/>
      </w:pPr>
      <w:r>
        <w:rPr>
          <w:rFonts w:ascii="Source Han Sans SC" w:cs="Source Han Sans SC" w:eastAsia="Source Han Sans SC" w:hAnsi="Source Han Sans SC"/>
          <w:b/>
          <w:bCs/>
          <w:color w:val="0D2B55"/>
          <w:sz w:val="32"/>
          <w:szCs w:val="32"/>
        </w:rPr>
        <w:t xml:space="preserve">八、项目团队</w:t>
      </w:r>
    </w:p>
    <w:p>
      <w:pPr>
        <w:pStyle w:val="Heading2"/>
        <w:spacing w:before="240" w:after="80"/>
      </w:pPr>
      <w:r>
        <w:rPr>
          <w:rFonts w:ascii="Source Han Sans SC" w:cs="Source Han Sans SC" w:eastAsia="Source Han Sans SC" w:hAnsi="Source Han Sans SC"/>
          <w:b/>
          <w:bCs/>
          <w:color w:val="1565C0"/>
          <w:sz w:val="26"/>
          <w:szCs w:val="26"/>
        </w:rPr>
        <w:t xml:space="preserve">8.1  核心团队构成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职位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专业背景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核心能力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代表性成果（建议填写）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0"/>
                <w:szCs w:val="20"/>
              </w:rPr>
              <w:t xml:space="preserve">首席科学家 / 项目负责人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医学 + 生物统计双背景，博士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RWE方法学、临床研究设计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发表SCI论文X篇，主持省级课题X项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0"/>
                <w:szCs w:val="20"/>
              </w:rPr>
              <w:t xml:space="preserve">首席技术官（CTO）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计算机科学，NLP方向，博士/硕士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医疗NLP、大模型微调、分布式系统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开源项目X stars，专利X项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0"/>
                <w:szCs w:val="20"/>
              </w:rPr>
              <w:t xml:space="preserve">医学数据科学家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医学背景+统计学，临床经验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因果推断、生存分析、R/Python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合作课题X项，数据集标注经验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0"/>
                <w:szCs w:val="20"/>
              </w:rPr>
              <w:t xml:space="preserve">AI工程师（×2）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计算机/AI背景，工业经验优先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模型训练、系统工程、API开发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参与过大型医疗系统开发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0"/>
                <w:szCs w:val="20"/>
              </w:rPr>
              <w:t xml:space="preserve">临床合作顾问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三甲医院主任医师级别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专病临床知识、用户需求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所在科室病历数据合作基础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Source Han Sans SC" w:cs="Source Han Sans SC" w:eastAsia="Source Han Sans SC" w:hAnsi="Source Han Sans SC"/>
          <w:b/>
          <w:bCs/>
          <w:color w:val="1565C0"/>
          <w:sz w:val="26"/>
          <w:szCs w:val="26"/>
        </w:rPr>
        <w:t xml:space="preserve">8.2  顾问委员会建议</w:t>
      </w:r>
    </w:p>
    <w:p>
      <w:pPr>
        <w:pStyle w:val="ListParagraph"/>
        <w:numPr>
          <w:ilvl w:val="0"/>
          <w:numId w:val="2"/>
        </w:numPr>
        <w:spacing w:before="40" w:after="40" w:line="320" w:lineRule="auto"/>
      </w:pPr>
      <w:r>
        <w:rPr>
          <w:rFonts w:ascii="SimSun" w:cs="SimSun" w:eastAsia="SimSun" w:hAnsi="SimSun"/>
          <w:b w:val="false"/>
          <w:bCs w:val="false"/>
          <w:color w:val="000000"/>
          <w:sz w:val="22"/>
          <w:szCs w:val="22"/>
        </w:rPr>
        <w:t xml:space="preserve">行业技术顾问：国内医疗AI/NLP领域知名学者（建议：计算机学会医学AI专委会委员级别）</w:t>
      </w:r>
    </w:p>
    <w:p>
      <w:pPr>
        <w:pStyle w:val="ListParagraph"/>
        <w:numPr>
          <w:ilvl w:val="0"/>
          <w:numId w:val="2"/>
        </w:numPr>
        <w:spacing w:before="40" w:after="40" w:line="320" w:lineRule="auto"/>
      </w:pPr>
      <w:r>
        <w:rPr>
          <w:rFonts w:ascii="SimSun" w:cs="SimSun" w:eastAsia="SimSun" w:hAnsi="SimSun"/>
          <w:b w:val="false"/>
          <w:bCs w:val="false"/>
          <w:color w:val="000000"/>
          <w:sz w:val="22"/>
          <w:szCs w:val="22"/>
        </w:rPr>
        <w:t xml:space="preserve">临床科学顾问：肿瘤/心血管专科领域权威专家（建议：三甲医院科主任，参与临床指南制定）</w:t>
      </w:r>
    </w:p>
    <w:p>
      <w:pPr>
        <w:pStyle w:val="ListParagraph"/>
        <w:numPr>
          <w:ilvl w:val="0"/>
          <w:numId w:val="2"/>
        </w:numPr>
        <w:spacing w:before="40" w:after="40" w:line="320" w:lineRule="auto"/>
      </w:pPr>
      <w:r>
        <w:rPr>
          <w:rFonts w:ascii="SimSun" w:cs="SimSun" w:eastAsia="SimSun" w:hAnsi="SimSun"/>
          <w:b w:val="false"/>
          <w:bCs w:val="false"/>
          <w:color w:val="000000"/>
          <w:sz w:val="22"/>
          <w:szCs w:val="22"/>
        </w:rPr>
        <w:t xml:space="preserve">政策顾问：卫生健康委信息化专家或医保政策研究专家</w:t>
      </w:r>
    </w:p>
    <w:p>
      <w:pPr>
        <w:pStyle w:val="ListParagraph"/>
        <w:numPr>
          <w:ilvl w:val="0"/>
          <w:numId w:val="2"/>
        </w:numPr>
        <w:spacing w:before="40" w:after="40" w:line="320" w:lineRule="auto"/>
      </w:pPr>
      <w:r>
        <w:rPr>
          <w:rFonts w:ascii="SimSun" w:cs="SimSun" w:eastAsia="SimSun" w:hAnsi="SimSun"/>
          <w:b w:val="false"/>
          <w:bCs w:val="false"/>
          <w:color w:val="000000"/>
          <w:sz w:val="22"/>
          <w:szCs w:val="22"/>
        </w:rPr>
        <w:t xml:space="preserve">产业顾问：医疗器械/医疗AI行业资深从业者（具备产业化经验）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565C0" w:sz="6" w:space="3"/>
        </w:pBdr>
        <w:spacing w:before="400" w:after="120"/>
      </w:pPr>
      <w:r>
        <w:rPr>
          <w:rFonts w:ascii="Source Han Sans SC" w:cs="Source Han Sans SC" w:eastAsia="Source Han Sans SC" w:hAnsi="Source Han Sans SC"/>
          <w:b/>
          <w:bCs/>
          <w:color w:val="0D2B55"/>
          <w:sz w:val="32"/>
          <w:szCs w:val="32"/>
        </w:rPr>
        <w:t xml:space="preserve">九、社会价值与创新示范意义</w:t>
      </w:r>
    </w:p>
    <w:p>
      <w:pPr>
        <w:pStyle w:val="Heading2"/>
        <w:spacing w:before="240" w:after="80"/>
      </w:pPr>
      <w:r>
        <w:rPr>
          <w:rFonts w:ascii="Source Han Sans SC" w:cs="Source Han Sans SC" w:eastAsia="Source Han Sans SC" w:hAnsi="Source Han Sans SC"/>
          <w:b/>
          <w:bCs/>
          <w:color w:val="1565C0"/>
          <w:sz w:val="26"/>
          <w:szCs w:val="26"/>
        </w:rPr>
        <w:t xml:space="preserve">9.1  直接社会效益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效益维度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具体表现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可量化指标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提升医疗科研产出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帮助临床医生将科研效率提升10倍以上，降低SCI论文发表门槛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目标：合作医院科研产出提升30%/年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推动循证医学发展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基于真实世界大样本数据，支持中国本土化临床证据产生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目标：贡献5+项临床指南证据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降低医疗研究成本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将原本需要百万级CRO委托的RWE研究降至10万级别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目标：医院科研成本降低70%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促进新药可及性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加速创新药医保谈判证据产生，推动新药进入医保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预期支持3–5个创新药医保申请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数据安全合规示范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联邦学习方案作为医疗数据安全利用国内示范案例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申请行业白皮书/标准参与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Source Han Sans SC" w:cs="Source Han Sans SC" w:eastAsia="Source Han Sans SC" w:hAnsi="Source Han Sans SC"/>
          <w:b/>
          <w:bCs/>
          <w:color w:val="1565C0"/>
          <w:sz w:val="26"/>
          <w:szCs w:val="26"/>
        </w:rPr>
        <w:t xml:space="preserve">9.2  知识产权与科研成果规划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成果类型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数量目标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时间节点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发明专利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2项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12、24个月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核心算法专利，优先PCT申请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软件著作权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3项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6、12、24个月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覆盖三大核心模块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SCI论文（Q1/Q2）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5篇+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18、30、36个月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方法学 + 临床应用验证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行业标准/规范参与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1项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36个月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医疗真实世界研究数据标准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产业化示范应用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3家三甲医院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24个月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形成可复制推广样本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Source Han Sans SC" w:cs="Source Han Sans SC" w:eastAsia="Source Han Sans SC" w:hAnsi="Source Han Sans SC"/>
          <w:b/>
          <w:bCs/>
          <w:color w:val="1565C0"/>
          <w:sz w:val="26"/>
          <w:szCs w:val="26"/>
        </w:rPr>
        <w:t xml:space="preserve">9.3  产业化路径</w:t>
      </w:r>
    </w:p>
    <w:p>
      <w:pPr>
        <w:pStyle w:val="ListParagraph"/>
        <w:numPr>
          <w:ilvl w:val="0"/>
          <w:numId w:val="3"/>
        </w:numPr>
        <w:spacing w:before="50" w:after="50" w:line="320" w:lineRule="auto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第1年：完成核心算法攻关，在1–2家合作医院部署Beta版本，收集反馈迭代；</w:t>
      </w:r>
    </w:p>
    <w:p>
      <w:pPr>
        <w:pStyle w:val="ListParagraph"/>
        <w:numPr>
          <w:ilvl w:val="0"/>
          <w:numId w:val="3"/>
        </w:numPr>
        <w:spacing w:before="50" w:after="50" w:line="320" w:lineRule="auto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第2年：完成产品商业化版本，在5–10家医院规模化部署，开展药企合作项目；</w:t>
      </w:r>
    </w:p>
    <w:p>
      <w:pPr>
        <w:pStyle w:val="ListParagraph"/>
        <w:numPr>
          <w:ilvl w:val="0"/>
          <w:numId w:val="3"/>
        </w:numPr>
        <w:spacing w:before="50" w:after="50" w:line="320" w:lineRule="auto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第3年：建立真实世界研究网络（20–50家医院），形成可推广的商业闭环；</w:t>
      </w:r>
    </w:p>
    <w:p>
      <w:pPr>
        <w:pStyle w:val="ListParagraph"/>
        <w:numPr>
          <w:ilvl w:val="0"/>
          <w:numId w:val="3"/>
        </w:numPr>
        <w:spacing w:before="50" w:after="50" w:line="320" w:lineRule="auto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项目结束后1年内：完成A轮融资或并入上市公司，实现完全市场化运营。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565C0" w:sz="6" w:space="3"/>
        </w:pBdr>
        <w:spacing w:before="400" w:after="120"/>
      </w:pPr>
      <w:r>
        <w:rPr>
          <w:rFonts w:ascii="Source Han Sans SC" w:cs="Source Han Sans SC" w:eastAsia="Source Han Sans SC" w:hAnsi="Source Han Sans SC"/>
          <w:b/>
          <w:bCs/>
          <w:color w:val="0D2B55"/>
          <w:sz w:val="32"/>
          <w:szCs w:val="32"/>
        </w:rPr>
        <w:t xml:space="preserve">十、风险分析与管控措施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800"/>
        <w:gridCol w:w="800"/>
        <w:gridCol w:w="35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风险类型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风险描述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概率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管控措施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0"/>
                <w:szCs w:val="20"/>
              </w:rPr>
              <w:t xml:space="preserve">技术风险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医疗NLP精度未达预期，病历结构化准确率&lt;85%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设立85%精度红线里程碑；引入专科医生标注质检；采用人机协同策略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0"/>
                <w:szCs w:val="20"/>
              </w:rPr>
              <w:t xml:space="preserve">数据合规风险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医院数据治理要求提高，接口标准变化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低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严格遵循《数据安全法》《个人信息保护法》；联邦学习方案提前备案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0"/>
                <w:szCs w:val="20"/>
              </w:rPr>
              <w:t xml:space="preserve">市场推广风险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医院IT部门采购周期长，项目落地慢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绑定科研处/医教部门，绕过IT采购路径；优先选择有课题需求的科室切入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0"/>
                <w:szCs w:val="20"/>
              </w:rPr>
              <w:t xml:space="preserve">竞争风险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大厂进入（阿里健康、腾讯医疗AI等）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专注中文医疗RWE细分场景；建立数据飞轮壁垒；加快专利布局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0"/>
                <w:szCs w:val="20"/>
              </w:rPr>
              <w:t xml:space="preserve">团队风险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核心技术人员流失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低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期权激励；项目初期绑定2–3年服务期；知识沉淀制度化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565C0" w:sz="6" w:space="3"/>
        </w:pBdr>
        <w:spacing w:before="400" w:after="120"/>
      </w:pPr>
      <w:r>
        <w:rPr>
          <w:rFonts w:ascii="Source Han Sans SC" w:cs="Source Han Sans SC" w:eastAsia="Source Han Sans SC" w:hAnsi="Source Han Sans SC"/>
          <w:b/>
          <w:bCs/>
          <w:color w:val="0D2B55"/>
          <w:sz w:val="32"/>
          <w:szCs w:val="32"/>
        </w:rPr>
        <w:t xml:space="preserve">十一、项目总结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2B55" w:sz="6"/>
              <w:left w:val="single" w:color="0D2B55" w:sz="12"/>
              <w:bottom w:val="single" w:color="0D2B55" w:sz="6"/>
              <w:right w:val="single" w:color="0D2B55" w:sz="2"/>
            </w:tcBorders>
            <w:shd w:fill="E3F0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SimSun" w:cs="SimSun" w:eastAsia="SimSun" w:hAnsi="SimSun"/>
                <w:b/>
                <w:bCs/>
                <w:i w:val="false"/>
                <w:iCs w:val="false"/>
                <w:color w:val="0D2B55"/>
                <w:sz w:val="24"/>
                <w:szCs w:val="24"/>
              </w:rPr>
              <w:t xml:space="preserve">Evidence Engine 的核心价值主张</w:t>
            </w:r>
          </w:p>
          <w:p>
            <w:pPr>
              <w:spacing w:before="40" w:after="40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将医院沉睡的临床数据  →  自动转化为  →  可信医学证据</w:t>
            </w:r>
          </w:p>
          <w:p>
            <w:pPr>
              <w:spacing w:before="40" w:after="40"/>
            </w:pPr>
            <w:r>
              <w:rPr>
                <w:rFonts w:ascii="SimSun" w:cs="SimSun" w:eastAsia="SimSun" w:hAnsi="SimSun"/>
                <w:b/>
                <w:bCs/>
                <w:i w:val="false"/>
                <w:iCs w:val="false"/>
                <w:color w:val="1565C0"/>
                <w:sz w:val="24"/>
                <w:szCs w:val="24"/>
              </w:rPr>
              <w:t xml:space="preserve">Data   ·   Evidence   ·   Decision</w:t>
            </w:r>
          </w:p>
          <w:p>
            <w:pPr>
              <w:spacing w:before="40" w:after="40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本项目聚焦国内医疗数字化转型核心痛点，</w:t>
            </w:r>
          </w:p>
          <w:p>
            <w:pPr>
              <w:spacing w:before="40" w:after="40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在NLP结构化、因果推断自动化、联邦隐私计算三个技术维度实现突破，</w:t>
            </w:r>
          </w:p>
          <w:p>
            <w:pPr>
              <w:spacing w:before="40" w:after="40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填补国内医疗真实世界研究基础设施空白，</w:t>
            </w:r>
          </w:p>
          <w:p>
            <w:pPr>
              <w:spacing w:before="40" w:after="40"/>
            </w:pPr>
            <w:r>
              <w:rPr>
                <w:rFonts w:ascii="SimSun" w:cs="SimSun" w:eastAsia="SimSun" w:hAnsi="SimSun"/>
                <w:b/>
                <w:bCs/>
                <w:i w:val="false"/>
                <w:iCs w:val="false"/>
                <w:color w:val="0D2B55"/>
                <w:sz w:val="22"/>
                <w:szCs w:val="22"/>
              </w:rPr>
              <w:t xml:space="preserve">具备显著的技术创新性、清晰的产业化路径和重要的社会价值。</w:t>
            </w:r>
          </w:p>
        </w:tc>
      </w:tr>
    </w:tbl>
    <w:p>
      <w:pPr>
        <w:spacing w:before="300" w:after="0"/>
      </w:pPr>
      <w:r>
        <w:t xml:space="preserve"/>
      </w:r>
    </w:p>
    <w:p>
      <w:pPr>
        <w:pBdr>
          <w:top w:val="single" w:color="1565C0" w:sz="4" w:space="4"/>
        </w:pBdr>
        <w:spacing w:before="200" w:after="0"/>
        <w:jc w:val="center"/>
      </w:pPr>
      <w:r>
        <w:rPr>
          <w:rFonts w:ascii="SimSun" w:cs="SimSun" w:eastAsia="SimSun" w:hAnsi="SimSun"/>
          <w:i/>
          <w:iCs/>
          <w:color w:val="888888"/>
          <w:sz w:val="20"/>
          <w:szCs w:val="20"/>
        </w:rPr>
        <w:t xml:space="preserve">— 申报材料正文终 —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565C0" w:sz="4" w:space="2"/>
      </w:pBdr>
      <w:spacing w:before="80" w:after="0"/>
      <w:jc w:val="right"/>
    </w:pPr>
    <w:r>
      <w:rPr>
        <w:rFonts w:ascii="SimSun" w:cs="SimSun" w:eastAsia="SimSun" w:hAnsi="SimSun"/>
        <w:color w:val="888888"/>
        <w:sz w:val="18"/>
        <w:szCs w:val="18"/>
      </w:rPr>
      <w:t xml:space="preserve">第 </w:t>
    </w:r>
    <w:r>
      <w:rPr>
        <w:rFonts w:ascii="SimSun" w:cs="SimSun" w:eastAsia="SimSun" w:hAnsi="SimSun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imSun" w:cs="SimSun" w:eastAsia="SimSun" w:hAnsi="SimSun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65C0" w:sz="4" w:space="2"/>
      </w:pBdr>
      <w:spacing w:before="0" w:after="100"/>
    </w:pPr>
    <w:r>
      <w:rPr>
        <w:rFonts w:ascii="SimSun" w:cs="SimSun" w:eastAsia="SimSun" w:hAnsi="SimSun"/>
        <w:color w:val="888888"/>
        <w:sz w:val="18"/>
        <w:szCs w:val="18"/>
      </w:rPr>
      <w:t xml:space="preserve">Evidence Engine  |  医疗证据操作系统</w:t>
    </w:r>
    <w:r>
      <w:rPr>
        <w:rFonts w:ascii="SimSun" w:cs="SimSun" w:eastAsia="SimSun" w:hAnsi="SimSun"/>
        <w:color w:val="888888"/>
        <w:sz w:val="18"/>
        <w:szCs w:val="18"/>
      </w:rPr>
      <w:t xml:space="preserve">        科技项目申报材料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◆"/>
      <w:lvlJc w:val="left"/>
      <w:pPr>
        <w:ind w:left="5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8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20"/>
      <w:outlineLvl w:val="0"/>
    </w:pPr>
    <w:rPr>
      <w:rFonts w:ascii="SimSun" w:cs="SimSun" w:eastAsia="SimSun" w:hAnsi="SimSun"/>
      <w:b/>
      <w:bCs/>
      <w:color w:val="0D2B5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SimSun" w:cs="SimSun" w:eastAsia="SimSun" w:hAnsi="SimSun"/>
      <w:b/>
      <w:bCs/>
      <w:color w:val="1565C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rFonts w:ascii="SimSun" w:cs="SimSun" w:eastAsia="SimSun" w:hAnsi="SimSun"/>
      <w:b/>
      <w:bCs/>
      <w:color w:val="00897B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2026-03-07T18:10:00.438Z</dcterms:created>
  <dcterms:modified xsi:type="dcterms:W3CDTF">2026-03-07T18:10:00.439Z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