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pageBreakBefore w:val="false"/>
        <w:widowControl w:val="false"/>
        <w:kinsoku/>
        <w:wordWrap/>
        <w:overflowPunct/>
        <w:topLinePunct w:val="false"/>
        <w:autoSpaceDE/>
        <w:autoSpaceDN/>
        <w:bidi w:val="false"/>
        <w:adjustRightInd/>
        <w:snapToGrid/>
        <w:spacing w:after="157" w:afterLines="50" w:lineRule="auto" w:line="360"/>
        <w:jc w:val="center"/>
        <w:textAlignment w:val="auto"/>
        <w:rPr>
          <w:rFonts w:hint="default"/>
          <w:b/>
          <w:bCs/>
          <w:sz w:val="40"/>
          <w:szCs w:val="48"/>
          <w:lang w:val="en-US" w:eastAsia="zh-CN"/>
        </w:rPr>
      </w:pPr>
      <w:r>
        <w:rPr>
          <w:rFonts w:hint="eastAsia"/>
          <w:b/>
          <w:bCs/>
          <w:sz w:val="40"/>
          <w:szCs w:val="48"/>
          <w:lang w:val="en-US" w:eastAsia="zh-CN"/>
        </w:rPr>
        <w:t>《微电子工艺》作业</w:t>
      </w:r>
    </w:p>
    <w:p>
      <w:pPr>
        <w:pStyle w:val="style0"/>
        <w:jc w:val="both"/>
        <w:rPr>
          <w:rFonts w:hint="eastAsia"/>
          <w:b/>
          <w:bCs/>
          <w:sz w:val="32"/>
          <w:szCs w:val="40"/>
          <w:u w:val="single"/>
          <w:lang w:val="en-US" w:eastAsia="zh-CN"/>
        </w:rPr>
      </w:pPr>
      <w:r>
        <w:rPr>
          <w:rFonts w:hint="eastAsia"/>
          <w:b/>
          <w:bCs/>
          <w:sz w:val="32"/>
          <w:szCs w:val="40"/>
          <w:lang w:val="en-US" w:eastAsia="zh-CN"/>
        </w:rPr>
        <w:t>学号：</w:t>
      </w:r>
      <w:r>
        <w:rPr>
          <w:rFonts w:hint="eastAsia"/>
          <w:b/>
          <w:bCs/>
          <w:sz w:val="32"/>
          <w:szCs w:val="40"/>
          <w:u w:val="single"/>
          <w:lang w:val="en-US" w:eastAsia="zh-CN"/>
        </w:rPr>
        <w:t xml:space="preserve"> 2021226</w:t>
      </w:r>
      <w:r>
        <w:rPr>
          <w:rFonts w:hint="default"/>
          <w:b/>
          <w:bCs/>
          <w:sz w:val="32"/>
          <w:szCs w:val="40"/>
          <w:u w:val="single"/>
          <w:lang w:val="en-US" w:eastAsia="zh-CN"/>
        </w:rPr>
        <w:t>xxxx</w:t>
      </w:r>
      <w:r>
        <w:rPr>
          <w:rFonts w:hint="eastAsia"/>
          <w:b/>
          <w:bCs/>
          <w:sz w:val="32"/>
          <w:szCs w:val="40"/>
          <w:u w:val="single"/>
          <w:lang w:val="en-US" w:eastAsia="zh-CN"/>
        </w:rPr>
        <w:t xml:space="preserve">  </w:t>
      </w:r>
    </w:p>
    <w:p>
      <w:pPr>
        <w:pStyle w:val="style0"/>
        <w:jc w:val="both"/>
        <w:rPr>
          <w:rFonts w:hint="default"/>
          <w:b/>
          <w:bCs/>
          <w:sz w:val="32"/>
          <w:szCs w:val="40"/>
          <w:u w:val="single"/>
          <w:lang w:val="en-US" w:eastAsia="zh-CN"/>
        </w:rPr>
      </w:pPr>
      <w:r>
        <w:rPr>
          <w:rFonts w:hint="eastAsia"/>
          <w:b/>
          <w:bCs/>
          <w:sz w:val="32"/>
          <w:szCs w:val="40"/>
          <w:lang w:val="en-US" w:eastAsia="zh-CN"/>
        </w:rPr>
        <w:t>姓名：</w:t>
      </w:r>
      <w:r>
        <w:rPr>
          <w:rFonts w:hint="eastAsia"/>
          <w:b/>
          <w:bCs/>
          <w:sz w:val="32"/>
          <w:szCs w:val="40"/>
          <w:u w:val="single"/>
          <w:lang w:val="en-US" w:eastAsia="zh-CN"/>
        </w:rPr>
        <w:t xml:space="preserve">  </w:t>
      </w:r>
      <w:r>
        <w:rPr>
          <w:rFonts w:hint="default"/>
          <w:b/>
          <w:bCs/>
          <w:sz w:val="32"/>
          <w:szCs w:val="40"/>
          <w:u w:val="single"/>
          <w:lang w:val="en-US" w:eastAsia="zh-CN"/>
        </w:rPr>
        <w:t>xxx</w:t>
      </w:r>
      <w:r>
        <w:rPr>
          <w:rFonts w:hint="eastAsia"/>
          <w:b/>
          <w:bCs/>
          <w:sz w:val="32"/>
          <w:szCs w:val="40"/>
          <w:u w:val="single"/>
          <w:lang w:val="en-US" w:eastAsia="zh-CN"/>
        </w:rPr>
        <w:t xml:space="preserve">   </w:t>
      </w:r>
      <w:r>
        <w:rPr>
          <w:rFonts w:hint="eastAsia"/>
          <w:b/>
          <w:bCs/>
          <w:sz w:val="32"/>
          <w:szCs w:val="40"/>
          <w:lang w:val="en-US" w:eastAsia="zh-CN"/>
        </w:rPr>
        <w:t>班级：</w:t>
      </w:r>
      <w:r>
        <w:rPr>
          <w:rFonts w:hint="eastAsia"/>
          <w:b/>
          <w:bCs/>
          <w:sz w:val="32"/>
          <w:szCs w:val="40"/>
          <w:u w:val="single"/>
          <w:lang w:val="en-US" w:eastAsia="zh-CN"/>
        </w:rPr>
        <w:t xml:space="preserve">  </w:t>
      </w:r>
      <w:bookmarkStart w:id="0" w:name="_GoBack"/>
      <w:bookmarkEnd w:id="0"/>
      <w:r>
        <w:rPr>
          <w:rFonts w:hint="eastAsia"/>
          <w:b/>
          <w:bCs/>
          <w:sz w:val="32"/>
          <w:szCs w:val="40"/>
          <w:u w:val="single"/>
          <w:lang w:val="en-US" w:eastAsia="zh-CN"/>
        </w:rPr>
        <w:t>微210</w:t>
      </w:r>
      <w:r>
        <w:rPr>
          <w:rFonts w:hint="default"/>
          <w:b/>
          <w:bCs/>
          <w:sz w:val="32"/>
          <w:szCs w:val="40"/>
          <w:u w:val="single"/>
          <w:lang w:val="en-US" w:eastAsia="zh-CN"/>
        </w:rPr>
        <w:t>x</w:t>
      </w:r>
      <w:r>
        <w:rPr>
          <w:rFonts w:hint="eastAsia"/>
          <w:b/>
          <w:bCs/>
          <w:sz w:val="32"/>
          <w:szCs w:val="40"/>
          <w:u w:val="single"/>
          <w:lang w:val="en-US" w:eastAsia="zh-CN"/>
        </w:rPr>
        <w:t xml:space="preserve">  </w:t>
      </w:r>
      <w:r>
        <w:rPr>
          <w:rFonts w:hint="eastAsia"/>
          <w:b/>
          <w:bCs/>
          <w:sz w:val="32"/>
          <w:szCs w:val="40"/>
          <w:u w:val="none"/>
          <w:lang w:val="en-US" w:eastAsia="zh-CN"/>
        </w:rPr>
        <w:t>分数：</w:t>
      </w:r>
      <w:r>
        <w:rPr>
          <w:rFonts w:hint="eastAsia"/>
          <w:b/>
          <w:bCs/>
          <w:sz w:val="32"/>
          <w:szCs w:val="40"/>
          <w:u w:val="single"/>
          <w:lang w:val="en-US" w:eastAsia="zh-CN"/>
        </w:rPr>
        <w:t xml:space="preserve">           </w:t>
      </w:r>
    </w:p>
    <w:p>
      <w:pPr>
        <w:pStyle w:val="style0"/>
        <w:jc w:val="center"/>
        <w:rPr>
          <w:rFonts w:ascii="Times New Roman" w:cs="Times New Roman" w:hAnsi="Times New Roman" w:hint="default"/>
          <w:b/>
          <w:bCs/>
          <w:color w:val="ff0000"/>
          <w:sz w:val="21"/>
          <w:szCs w:val="21"/>
          <w:lang w:val="en-US" w:eastAsia="zh-CN"/>
        </w:rPr>
      </w:pPr>
    </w:p>
    <w:p>
      <w:pPr>
        <w:pStyle w:val="style0"/>
        <w:numPr>
          <w:ilvl w:val="0"/>
          <w:numId w:val="1"/>
        </w:numPr>
        <w:jc w:val="left"/>
        <w:rPr>
          <w:rFonts w:hint="eastAsia"/>
          <w:b w:val="false"/>
          <w:bCs w:val="false"/>
          <w:sz w:val="28"/>
          <w:szCs w:val="36"/>
          <w:u w:val="none"/>
          <w:lang w:val="en-US" w:eastAsia="zh-CN"/>
        </w:rPr>
      </w:pPr>
      <w:r>
        <w:rPr>
          <w:rFonts w:hint="eastAsia"/>
          <w:b w:val="false"/>
          <w:bCs w:val="false"/>
          <w:sz w:val="28"/>
          <w:szCs w:val="36"/>
          <w:u w:val="none"/>
          <w:lang w:val="en-US" w:eastAsia="zh-CN"/>
        </w:rPr>
        <w:t>请调研从事集成电路制造装备的国内企业，从中选择一家你感兴趣的企业，详细介绍其装备性能和技术优势。（30分）</w:t>
      </w:r>
    </w:p>
    <w:p>
      <w:pPr>
        <w:pStyle w:val="style0"/>
        <w:numPr>
          <w:ilvl w:val="0"/>
          <w:numId w:val="0"/>
        </w:numPr>
        <w:jc w:val="left"/>
        <w:rPr>
          <w:rFonts w:hint="eastAsia"/>
          <w:b w:val="false"/>
          <w:bCs w:val="false"/>
          <w:sz w:val="28"/>
          <w:szCs w:val="36"/>
          <w:u w:val="none"/>
          <w:lang w:val="en-US" w:eastAsia="zh-CN"/>
        </w:rPr>
      </w:pPr>
      <w:r>
        <w:rPr>
          <w:rFonts w:hint="eastAsia"/>
          <w:b w:val="false"/>
          <w:bCs w:val="false"/>
          <w:sz w:val="28"/>
          <w:szCs w:val="36"/>
          <w:u w:val="none"/>
          <w:lang w:val="en-US" w:eastAsia="zh-CN"/>
        </w:rPr>
        <w:t>答：（宋体五号，段落1.25倍间距，字数800字以内，可配图表）</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left"/>
        <w:textAlignment w:val="auto"/>
        <w:rPr>
          <w:rFonts w:ascii="宋体" w:cs="宋体" w:eastAsia="宋体" w:hAnsi="宋体" w:hint="eastAsia"/>
          <w:b w:val="false"/>
          <w:bCs w:val="false"/>
          <w:sz w:val="21"/>
          <w:szCs w:val="21"/>
          <w:u w:val="none"/>
          <w:lang w:val="en-US" w:eastAsia="zh-CN"/>
        </w:rPr>
      </w:pPr>
      <w:r>
        <w:rPr>
          <w:rFonts w:hint="eastAsia"/>
          <w:b w:val="false"/>
          <w:bCs w:val="false"/>
          <w:sz w:val="21"/>
          <w:szCs w:val="21"/>
          <w:u w:val="none"/>
          <w:lang w:val="en-US" w:eastAsia="zh-CN"/>
        </w:rPr>
        <w:t>中微半导体是一家从事集成电路制造装备的国内企业，以下表格中为中微半导体的刻蚀装备性能及技术优势，其信息来源为中微半导体官网。</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default"/>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表1  中微半导体刻蚀装备详情表</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2904"/>
        <w:gridCol w:w="2812"/>
        <w:gridCol w:w="2806"/>
      </w:tblGrid>
      <w:tr>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装备名称</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装备性能</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技术优势</w:t>
            </w:r>
          </w:p>
        </w:tc>
      </w:tr>
      <w:tr>
        <w:tblPrEx/>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Times New Roman" w:cs="Times New Roman" w:eastAsia="宋体" w:hAnsi="Times New Roman" w:hint="eastAsia"/>
                <w:b w:val="false"/>
                <w:bCs w:val="false"/>
                <w:sz w:val="21"/>
                <w:szCs w:val="21"/>
                <w:u w:val="none"/>
                <w:lang w:val="en-US" w:eastAsia="zh-CN"/>
              </w:rPr>
              <w:t>Primo D-RIE</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692275" cy="1752600"/>
                  <wp:effectExtent l="0" t="0" r="0" b="0"/>
                  <wp:docPr id="1026"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1692275" cy="1752600"/>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vertAlign w:val="baseline"/>
                <w:lang w:val="en-US" w:eastAsia="zh-CN"/>
              </w:rPr>
            </w:pPr>
            <w:r>
              <w:rPr>
                <w:rFonts w:ascii="Times New Roman" w:cs="Times New Roman" w:eastAsia="宋体" w:hAnsi="Times New Roman" w:hint="eastAsia"/>
                <w:b w:val="false"/>
                <w:bCs w:val="false"/>
                <w:sz w:val="21"/>
                <w:szCs w:val="21"/>
                <w:u w:val="none"/>
                <w:lang w:val="en-US" w:eastAsia="zh-CN"/>
              </w:rPr>
              <w:t>是12</w:t>
            </w:r>
            <w:r>
              <w:rPr>
                <w:rFonts w:ascii="宋体" w:cs="宋体" w:eastAsia="宋体" w:hAnsi="宋体" w:hint="eastAsia"/>
                <w:b w:val="false"/>
                <w:bCs w:val="false"/>
                <w:sz w:val="21"/>
                <w:szCs w:val="21"/>
                <w:u w:val="none"/>
                <w:lang w:val="en-US" w:eastAsia="zh-CN"/>
              </w:rPr>
              <w:t>英寸双反应台多反应腔主机系统，可灵活装置多达三个双反应台反应腔（六个反应台），内有甚高频和低频混合射频去耦合反应等离子体源、等离子体隔离环、以及用于控制腔体内反应环境的先进工艺组件</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高生产效率，低生产成本；</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设备占地面积小；</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极强的一体整合的除胶能力及表面电荷减除能力</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vertAlign w:val="baseline"/>
                <w:lang w:val="en-US" w:eastAsia="zh-CN"/>
              </w:rPr>
            </w:pPr>
          </w:p>
        </w:tc>
      </w:tr>
      <w:tr>
        <w:tblPrEx/>
        <w:trPr>
          <w:trHeight w:val="2682" w:hRule="atLeast"/>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default"/>
                <w:b w:val="false"/>
                <w:bCs w:val="false"/>
                <w:sz w:val="21"/>
                <w:szCs w:val="21"/>
                <w:u w:val="none"/>
                <w:lang w:val="en-US" w:eastAsia="zh-CN"/>
              </w:rPr>
            </w:pPr>
            <w:r>
              <w:rPr>
                <w:rFonts w:ascii="Times New Roman" w:cs="Times New Roman" w:eastAsia="宋体" w:hAnsi="Times New Roman" w:hint="default"/>
                <w:b w:val="false"/>
                <w:bCs w:val="false"/>
                <w:sz w:val="21"/>
                <w:szCs w:val="21"/>
                <w:u w:val="none"/>
                <w:lang w:val="en-US" w:eastAsia="zh-CN"/>
              </w:rPr>
              <w:t>Primo AD-RIE</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696720" cy="1757044"/>
                  <wp:effectExtent l="0" t="0" r="10160" b="0"/>
                  <wp:docPr id="1027"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3" cstate="print"/>
                          <a:srcRect l="0" t="0" r="0" b="0"/>
                          <a:stretch/>
                        </pic:blipFill>
                        <pic:spPr>
                          <a:xfrm rot="0">
                            <a:off x="0" y="0"/>
                            <a:ext cx="1696720" cy="1757044"/>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default"/>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配备了可切换双低频射频源，可以灵活地装置多达三个双反应台抗腐蚀反应腔（即六个反应台），目前已被广泛应用于40到14纳米后段制程。其子系列产品可以达到更高的额可是均匀度和刻蚀选择比</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双低频率分步骤切换系统，适用于更广的制程范围；</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优异的工艺可调性和稳定性；高生产效率，低生产成本；</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lang w:val="en-US" w:eastAsia="zh-CN"/>
              </w:rPr>
              <w:t>扩展机型可应用于不同特殊制程</w:t>
            </w:r>
          </w:p>
        </w:tc>
      </w:tr>
      <w:tr>
        <w:tblPrEx/>
        <w:trPr>
          <w:trHeight w:val="502" w:hRule="atLeast"/>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both"/>
              <w:textAlignment w:val="auto"/>
              <w:rPr>
                <w:rFonts w:ascii="Times New Roman" w:cs="Times New Roman" w:eastAsia="宋体" w:hAnsi="Times New Roman"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Times New Roman" w:cs="Times New Roman" w:eastAsia="宋体" w:hAnsi="Times New Roman" w:hint="eastAsia"/>
                <w:b w:val="false"/>
                <w:bCs w:val="false"/>
                <w:sz w:val="21"/>
                <w:szCs w:val="21"/>
                <w:u w:val="none"/>
                <w:lang w:val="en-US" w:eastAsia="zh-CN"/>
              </w:rPr>
              <w:t>Primo SSC AD-RIE</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333500" cy="1381125"/>
                  <wp:effectExtent l="0" t="0" r="0" b="0"/>
                  <wp:docPr id="1028" name="图片 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4" cstate="print"/>
                          <a:srcRect l="0" t="0" r="0" b="0"/>
                          <a:stretch/>
                        </pic:blipFill>
                        <pic:spPr>
                          <a:xfrm rot="10800000" flipV="1">
                            <a:off x="0" y="0"/>
                            <a:ext cx="1333500" cy="1381125"/>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eastAsia"/>
                <w:b w:val="false"/>
                <w:bCs w:val="false"/>
                <w:sz w:val="21"/>
                <w:szCs w:val="21"/>
                <w:u w:val="none"/>
                <w:vertAlign w:val="baseline"/>
                <w:lang w:val="en-US" w:eastAsia="zh-CN"/>
              </w:rPr>
              <w:t>是</w:t>
            </w:r>
            <w:r>
              <w:rPr>
                <w:rFonts w:ascii="宋体" w:cs="宋体" w:eastAsia="宋体" w:hAnsi="宋体" w:hint="eastAsia"/>
                <w:b w:val="false"/>
                <w:bCs w:val="false"/>
                <w:sz w:val="21"/>
                <w:szCs w:val="21"/>
                <w:u w:val="none"/>
                <w:lang w:val="en-US" w:eastAsia="zh-CN"/>
              </w:rPr>
              <w:t>单反应台电介质刻蚀产品，具备同步脉冲射频系统、可冷却聚焦环工艺组件和甚低压气体抽运系统等，可以处理多层薄膜刻蚀的微负载问题、极端边缘形貌问题以及接触孔刻蚀的终端控制问题</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多手段刻蚀均匀度调节；</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双级同步脉冲射频系统；</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先进气体抽运系统；</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vertAlign w:val="baseline"/>
                <w:lang w:val="en-US" w:eastAsia="zh-CN"/>
              </w:rPr>
            </w:pPr>
          </w:p>
        </w:tc>
      </w:tr>
      <w:tr>
        <w:tblPrEx/>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840" w:firstLineChars="400"/>
              <w:jc w:val="both"/>
              <w:textAlignment w:val="auto"/>
              <w:rPr>
                <w:rFonts w:ascii="宋体" w:cs="宋体" w:eastAsia="宋体" w:hAnsi="宋体"/>
                <w:sz w:val="24"/>
                <w:szCs w:val="24"/>
              </w:rPr>
            </w:pPr>
            <w:r>
              <w:rPr>
                <w:rFonts w:ascii="Times New Roman" w:cs="Times New Roman" w:eastAsia="宋体" w:hAnsi="Times New Roman" w:hint="eastAsia"/>
                <w:b w:val="false"/>
                <w:bCs w:val="false"/>
                <w:sz w:val="21"/>
                <w:szCs w:val="21"/>
                <w:u w:val="none"/>
                <w:lang w:val="en-US" w:eastAsia="zh-CN"/>
              </w:rPr>
              <w:t>Primo iDLE</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461770" cy="1069340"/>
                  <wp:effectExtent l="0" t="0" r="0" b="13334"/>
                  <wp:docPr id="1029" name="图片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 cstate="print"/>
                          <a:srcRect l="0" t="0" r="0" b="29371"/>
                          <a:stretch/>
                        </pic:blipFill>
                        <pic:spPr>
                          <a:xfrm rot="0">
                            <a:off x="0" y="0"/>
                            <a:ext cx="1461770" cy="1069340"/>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lang w:val="en-US" w:eastAsia="zh-CN"/>
              </w:rPr>
              <w:t>是整合了一个或两个双反应台</w:t>
            </w:r>
            <w:r>
              <w:rPr>
                <w:rFonts w:ascii="Times New Roman" w:cs="Times New Roman" w:eastAsia="宋体" w:hAnsi="Times New Roman" w:hint="eastAsia"/>
                <w:b w:val="false"/>
                <w:bCs w:val="false"/>
                <w:sz w:val="21"/>
                <w:szCs w:val="21"/>
                <w:u w:val="none"/>
                <w:lang w:val="en-US" w:eastAsia="zh-CN"/>
              </w:rPr>
              <w:t>D-RIE或AD-RIE</w:t>
            </w:r>
            <w:r>
              <w:rPr>
                <w:rFonts w:ascii="宋体" w:cs="宋体" w:eastAsia="宋体" w:hAnsi="宋体" w:hint="eastAsia"/>
                <w:b w:val="false"/>
                <w:bCs w:val="false"/>
                <w:sz w:val="21"/>
                <w:szCs w:val="21"/>
                <w:u w:val="none"/>
                <w:lang w:val="en-US" w:eastAsia="zh-CN"/>
              </w:rPr>
              <w:t>工艺模块、和一个远程等离子体源除胶器反应腔的系统</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显著减小占地面积；</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lang w:val="en-US" w:eastAsia="zh-CN"/>
              </w:rPr>
              <w:t>节省成本20%以上</w:t>
            </w:r>
          </w:p>
        </w:tc>
      </w:tr>
      <w:tr>
        <w:tblPrEx/>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Times New Roman" w:cs="Times New Roman" w:eastAsia="宋体" w:hAnsi="Times New Roman" w:hint="eastAsia"/>
                <w:b w:val="false"/>
                <w:bCs w:val="false"/>
                <w:sz w:val="21"/>
                <w:szCs w:val="21"/>
                <w:u w:val="none"/>
                <w:lang w:val="en-US" w:eastAsia="zh-CN"/>
              </w:rPr>
              <w:t>Primo HD-RIE</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280160" cy="1325880"/>
                  <wp:effectExtent l="0" t="0" r="0" b="0"/>
                  <wp:docPr id="1030" name="图片 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6" cstate="print"/>
                          <a:srcRect l="0" t="0" r="0" b="0"/>
                          <a:stretch/>
                        </pic:blipFill>
                        <pic:spPr>
                          <a:xfrm rot="0">
                            <a:off x="0" y="0"/>
                            <a:ext cx="1280160" cy="1325880"/>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both"/>
              <w:textAlignment w:val="auto"/>
              <w:rPr>
                <w:rFonts w:ascii="Times New Roman" w:cs="Times New Roman" w:eastAsia="宋体" w:hAnsi="Times New Roman"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lang w:val="en-US" w:eastAsia="zh-CN"/>
              </w:rPr>
              <w:t>在</w:t>
            </w:r>
            <w:r>
              <w:rPr>
                <w:rFonts w:ascii="Times New Roman" w:cs="Times New Roman" w:eastAsia="宋体" w:hAnsi="Times New Roman" w:hint="eastAsia"/>
                <w:b w:val="false"/>
                <w:bCs w:val="false"/>
                <w:sz w:val="21"/>
                <w:szCs w:val="21"/>
                <w:u w:val="none"/>
                <w:lang w:val="en-US" w:eastAsia="zh-CN"/>
              </w:rPr>
              <w:t>3D-NAND</w:t>
            </w:r>
            <w:r>
              <w:rPr>
                <w:rFonts w:ascii="宋体" w:cs="宋体" w:eastAsia="宋体" w:hAnsi="宋体" w:hint="eastAsia"/>
                <w:b w:val="false"/>
                <w:bCs w:val="false"/>
                <w:sz w:val="21"/>
                <w:szCs w:val="21"/>
                <w:u w:val="none"/>
                <w:lang w:val="en-US" w:eastAsia="zh-CN"/>
              </w:rPr>
              <w:t>及</w:t>
            </w:r>
            <w:r>
              <w:rPr>
                <w:rFonts w:ascii="Times New Roman" w:cs="Times New Roman" w:eastAsia="宋体" w:hAnsi="Times New Roman" w:hint="eastAsia"/>
                <w:b w:val="false"/>
                <w:bCs w:val="false"/>
                <w:sz w:val="21"/>
                <w:szCs w:val="21"/>
                <w:u w:val="none"/>
                <w:lang w:val="en-US" w:eastAsia="zh-CN"/>
              </w:rPr>
              <w:t>DRAM</w:t>
            </w:r>
            <w:r>
              <w:rPr>
                <w:rFonts w:ascii="宋体" w:cs="宋体" w:eastAsia="宋体" w:hAnsi="宋体" w:hint="eastAsia"/>
                <w:b w:val="false"/>
                <w:bCs w:val="false"/>
                <w:sz w:val="21"/>
                <w:szCs w:val="21"/>
                <w:u w:val="none"/>
                <w:lang w:val="en-US" w:eastAsia="zh-CN"/>
              </w:rPr>
              <w:t>中高深宽比沟槽及深孔刻蚀上表现优异，在一些关键制程上已实现量产</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其</w:t>
            </w:r>
            <w:r>
              <w:rPr>
                <w:rFonts w:ascii="宋体" w:cs="宋体" w:eastAsia="宋体" w:hAnsi="宋体" w:hint="default"/>
                <w:b w:val="false"/>
                <w:bCs w:val="false"/>
                <w:sz w:val="21"/>
                <w:szCs w:val="21"/>
                <w:u w:val="none"/>
                <w:lang w:val="en-US" w:eastAsia="zh-CN"/>
              </w:rPr>
              <w:t>气体脉冲系统，提供</w:t>
            </w:r>
            <w:r>
              <w:rPr>
                <w:rFonts w:ascii="宋体" w:cs="宋体" w:eastAsia="宋体" w:hAnsi="宋体" w:hint="eastAsia"/>
                <w:b w:val="false"/>
                <w:bCs w:val="false"/>
                <w:sz w:val="21"/>
                <w:szCs w:val="21"/>
                <w:u w:val="none"/>
                <w:lang w:val="en-US" w:eastAsia="zh-CN"/>
              </w:rPr>
              <w:t>了</w:t>
            </w:r>
            <w:r>
              <w:rPr>
                <w:rFonts w:ascii="宋体" w:cs="宋体" w:eastAsia="宋体" w:hAnsi="宋体" w:hint="default"/>
                <w:b w:val="false"/>
                <w:bCs w:val="false"/>
                <w:sz w:val="21"/>
                <w:szCs w:val="21"/>
                <w:u w:val="none"/>
                <w:lang w:val="en-US" w:eastAsia="zh-CN"/>
              </w:rPr>
              <w:t>更灵活的工艺控制方案</w:t>
            </w:r>
            <w:r>
              <w:rPr>
                <w:rFonts w:ascii="宋体" w:cs="宋体" w:eastAsia="宋体" w:hAnsi="宋体" w:hint="eastAsia"/>
                <w:b w:val="false"/>
                <w:bCs w:val="false"/>
                <w:sz w:val="21"/>
                <w:szCs w:val="21"/>
                <w:u w:val="none"/>
                <w:lang w:val="en-US" w:eastAsia="zh-CN"/>
              </w:rPr>
              <w:t>；</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vertAlign w:val="baseline"/>
                <w:lang w:val="en-US" w:eastAsia="zh-CN"/>
              </w:rPr>
            </w:pPr>
            <w:r>
              <w:rPr>
                <w:rFonts w:ascii="宋体" w:cs="宋体" w:eastAsia="宋体" w:hAnsi="宋体" w:hint="default"/>
                <w:b w:val="false"/>
                <w:bCs w:val="false"/>
                <w:sz w:val="21"/>
                <w:szCs w:val="21"/>
                <w:u w:val="none"/>
                <w:lang w:val="en-US" w:eastAsia="zh-CN"/>
              </w:rPr>
              <w:t>应对特殊工艺的高温高功率静电吸盘</w:t>
            </w:r>
          </w:p>
        </w:tc>
      </w:tr>
      <w:tr>
        <w:tblPrEx/>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840" w:firstLineChars="400"/>
              <w:jc w:val="both"/>
              <w:textAlignment w:val="auto"/>
              <w:rPr>
                <w:rFonts w:ascii="Times New Roman" w:cs="Times New Roman" w:eastAsia="宋体" w:hAnsi="Times New Roman"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Times New Roman" w:cs="Times New Roman" w:eastAsia="宋体" w:hAnsi="Times New Roman" w:hint="eastAsia"/>
                <w:b w:val="false"/>
                <w:bCs w:val="false"/>
                <w:sz w:val="21"/>
                <w:szCs w:val="21"/>
                <w:u w:val="none"/>
                <w:lang w:val="en-US" w:eastAsia="zh-CN"/>
              </w:rPr>
              <w:t>Primo TSV</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367155" cy="1416685"/>
                  <wp:effectExtent l="0" t="0" r="0" b="0"/>
                  <wp:docPr id="1031" name="图片 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6"/>
                          <pic:cNvPicPr/>
                        </pic:nvPicPr>
                        <pic:blipFill>
                          <a:blip r:embed="rId7" cstate="print"/>
                          <a:srcRect l="0" t="0" r="0" b="0"/>
                          <a:stretch/>
                        </pic:blipFill>
                        <pic:spPr>
                          <a:xfrm rot="0">
                            <a:off x="0" y="0"/>
                            <a:ext cx="1367155" cy="1416685"/>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lang w:val="en-US" w:eastAsia="zh-CN"/>
              </w:rPr>
              <w:t>是用于高性能硅通孔刻蚀应用的高密度等离子体硅通孔刻蚀设备，可刻蚀孔径从低至1微米以下到几百微米、深度可达几百微米的孔洞，并具有工艺协调性，可根据客户的需求产生不同的刻蚀形状（例如垂直、圆锥形和锥形等）</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both"/>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具有适合不同应用的工艺调整性；</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每台系统的产能显著提升；</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lang w:val="en-US" w:eastAsia="zh-CN"/>
              </w:rPr>
              <w:t>同一反应腔内融合了Bosch以及恒稳态制程的工艺性能；</w:t>
            </w:r>
          </w:p>
        </w:tc>
      </w:tr>
      <w:tr>
        <w:tblPrEx/>
        <w:trPr/>
        <w:tc>
          <w:tcPr>
            <w:tcW w:w="284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Times New Roman" w:cs="Times New Roman" w:eastAsia="宋体" w:hAnsi="Times New Roman" w:hint="eastAsia"/>
                <w:b w:val="false"/>
                <w:bCs w:val="false"/>
                <w:sz w:val="21"/>
                <w:szCs w:val="21"/>
                <w:u w:val="none"/>
                <w:lang w:val="en-US" w:eastAsia="zh-CN"/>
              </w:rPr>
              <w:t>Primo nanova</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Times New Roman" w:cs="Times New Roman" w:eastAsia="宋体" w:hAnsi="Times New Roman" w:hint="eastAsia"/>
                <w:b w:val="false"/>
                <w:bCs w:val="false"/>
                <w:sz w:val="21"/>
                <w:szCs w:val="21"/>
                <w:u w:val="none"/>
                <w:lang w:val="en-US" w:eastAsia="zh-CN"/>
              </w:rPr>
            </w:pPr>
            <w:r>
              <w:rPr>
                <w:rFonts w:ascii="宋体" w:cs="宋体" w:eastAsia="宋体" w:hAnsi="宋体"/>
                <w:sz w:val="24"/>
                <w:szCs w:val="24"/>
              </w:rPr>
              <w:drawing>
                <wp:inline distL="0" distT="0" distB="0" distR="0">
                  <wp:extent cx="1046480" cy="1084580"/>
                  <wp:effectExtent l="0" t="0" r="5080" b="0"/>
                  <wp:docPr id="1032" name="图片 7"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8" cstate="print"/>
                          <a:srcRect l="0" t="0" r="0" b="0"/>
                          <a:stretch/>
                        </pic:blipFill>
                        <pic:spPr>
                          <a:xfrm rot="0">
                            <a:off x="0" y="0"/>
                            <a:ext cx="1046480" cy="1084580"/>
                          </a:xfrm>
                          <a:prstGeom prst="rect"/>
                          <a:ln>
                            <a:noFill/>
                          </a:ln>
                        </pic:spPr>
                      </pic:pic>
                    </a:graphicData>
                  </a:graphic>
                </wp:inline>
              </w:drawing>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是基于电感耦合技术研发的12英寸刻蚀设备，可实现对离子浓度和离子能量的高度独立控制，适用于1X纳米及以下的逻辑和存储器件的刻蚀应用</w:t>
            </w:r>
          </w:p>
        </w:tc>
        <w:tc>
          <w:tcPr>
            <w:tcW w:w="284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left"/>
              <w:textAlignment w:val="auto"/>
              <w:rPr>
                <w:rFonts w:ascii="宋体" w:cs="宋体" w:eastAsia="宋体" w:hAnsi="宋体"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left"/>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离子浓度和离子能量可控；</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left"/>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高排气量更宽的工艺窗口；</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left"/>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优秀的刻蚀均匀性；</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210" w:firstLineChars="100"/>
              <w:jc w:val="left"/>
              <w:textAlignment w:val="auto"/>
              <w:rPr>
                <w:rFonts w:ascii="宋体" w:cs="宋体" w:eastAsia="宋体" w:hAnsi="宋体" w:hint="eastAsia"/>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好的高深宽比刻蚀性能；</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210" w:firstLineChars="100"/>
              <w:jc w:val="left"/>
              <w:textAlignment w:val="auto"/>
              <w:rPr>
                <w:rFonts w:ascii="宋体" w:cs="宋体" w:eastAsia="宋体" w:hAnsi="宋体" w:hint="default"/>
                <w:b w:val="false"/>
                <w:bCs w:val="false"/>
                <w:sz w:val="21"/>
                <w:szCs w:val="21"/>
                <w:u w:val="none"/>
                <w:lang w:val="en-US" w:eastAsia="zh-CN"/>
              </w:rPr>
            </w:pPr>
            <w:r>
              <w:rPr>
                <w:rFonts w:ascii="宋体" w:cs="宋体" w:eastAsia="宋体" w:hAnsi="宋体" w:hint="eastAsia"/>
                <w:b w:val="false"/>
                <w:bCs w:val="false"/>
                <w:sz w:val="21"/>
                <w:szCs w:val="21"/>
                <w:u w:val="none"/>
                <w:lang w:val="en-US" w:eastAsia="zh-CN"/>
              </w:rPr>
              <w:t>高生产效率，低生产成本；</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ascii="宋体" w:cs="宋体" w:eastAsia="宋体" w:hAnsi="宋体" w:hint="eastAsia"/>
                <w:b w:val="false"/>
                <w:bCs w:val="false"/>
                <w:sz w:val="21"/>
                <w:szCs w:val="21"/>
                <w:u w:val="none"/>
                <w:lang w:val="en-US" w:eastAsia="zh-CN"/>
              </w:rPr>
            </w:pPr>
          </w:p>
        </w:tc>
      </w:tr>
    </w:tbl>
    <w:p>
      <w:pPr>
        <w:pStyle w:val="style0"/>
        <w:numPr>
          <w:ilvl w:val="0"/>
          <w:numId w:val="0"/>
        </w:numPr>
        <w:jc w:val="left"/>
        <w:rPr>
          <w:rFonts w:hint="default"/>
          <w:b w:val="false"/>
          <w:bCs w:val="false"/>
          <w:sz w:val="28"/>
          <w:szCs w:val="36"/>
          <w:u w:val="none"/>
          <w:lang w:val="en-US" w:eastAsia="zh-CN"/>
        </w:rPr>
      </w:pPr>
    </w:p>
    <w:p>
      <w:pPr>
        <w:pStyle w:val="style0"/>
        <w:numPr>
          <w:ilvl w:val="0"/>
          <w:numId w:val="1"/>
        </w:numPr>
        <w:jc w:val="left"/>
        <w:rPr>
          <w:rFonts w:hint="eastAsia"/>
          <w:b w:val="false"/>
          <w:bCs w:val="false"/>
          <w:sz w:val="28"/>
          <w:szCs w:val="36"/>
          <w:u w:val="none"/>
          <w:lang w:val="en-US" w:eastAsia="zh-CN"/>
        </w:rPr>
      </w:pPr>
      <w:r>
        <w:rPr>
          <w:rFonts w:hint="eastAsia"/>
          <w:b w:val="false"/>
          <w:bCs w:val="false"/>
          <w:sz w:val="28"/>
          <w:szCs w:val="36"/>
          <w:u w:val="none"/>
          <w:lang w:val="en-US" w:eastAsia="zh-CN"/>
        </w:rPr>
        <w:t>请调研集成电路制造领域中从事化学品生产的国内企业，从中选择一家你感兴趣的企业，详细介绍其产品及其所达到的指标。（30分）</w:t>
      </w:r>
    </w:p>
    <w:p>
      <w:pPr>
        <w:pStyle w:val="style0"/>
        <w:numPr>
          <w:ilvl w:val="0"/>
          <w:numId w:val="0"/>
        </w:numPr>
        <w:jc w:val="left"/>
        <w:rPr>
          <w:rFonts w:hint="eastAsia"/>
          <w:b w:val="false"/>
          <w:bCs w:val="false"/>
          <w:sz w:val="28"/>
          <w:szCs w:val="36"/>
          <w:u w:val="none"/>
          <w:lang w:val="en-US" w:eastAsia="zh-CN"/>
        </w:rPr>
      </w:pPr>
      <w:r>
        <w:rPr>
          <w:rFonts w:hint="eastAsia"/>
          <w:b w:val="false"/>
          <w:bCs w:val="false"/>
          <w:sz w:val="28"/>
          <w:szCs w:val="36"/>
          <w:u w:val="none"/>
          <w:lang w:val="en-US" w:eastAsia="zh-CN"/>
        </w:rPr>
        <w:t>答：（宋体五号，段落1.25倍间距，字数800字以内，可配图表）</w:t>
      </w:r>
    </w:p>
    <w:p>
      <w:pPr>
        <w:pStyle w:val="style0"/>
        <w:numPr>
          <w:ilvl w:val="0"/>
          <w:numId w:val="0"/>
        </w:numPr>
        <w:jc w:val="left"/>
        <w:rPr>
          <w:rFonts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江阴江化微电子材料股份有限公司（简称江化微）是一家从事化学品生产的国内企业。其通用化学品的产品及质量指标如下，其信息来自江化微公司官网。</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left"/>
        <w:textAlignment w:val="auto"/>
        <w:rPr>
          <w:rFonts w:hint="default"/>
          <w:b w:val="false"/>
          <w:bCs w:val="false"/>
          <w:sz w:val="21"/>
          <w:szCs w:val="21"/>
          <w:u w:val="none"/>
          <w:lang w:val="en-US" w:eastAsia="zh-CN"/>
        </w:rPr>
      </w:pPr>
    </w:p>
    <w:p>
      <w:pPr>
        <w:pStyle w:val="style0"/>
        <w:numPr>
          <w:ilvl w:val="0"/>
          <w:numId w:val="0"/>
        </w:numPr>
        <w:jc w:val="center"/>
        <w:rPr>
          <w:rFonts w:hint="default"/>
          <w:b w:val="false"/>
          <w:bCs w:val="false"/>
          <w:sz w:val="21"/>
          <w:szCs w:val="21"/>
          <w:u w:val="none"/>
          <w:lang w:val="en-US" w:eastAsia="zh-CN"/>
        </w:rPr>
      </w:pPr>
      <w:r>
        <w:rPr>
          <w:rFonts w:hint="eastAsia"/>
          <w:b w:val="false"/>
          <w:bCs w:val="false"/>
          <w:sz w:val="21"/>
          <w:szCs w:val="21"/>
          <w:u w:val="none"/>
          <w:lang w:val="en-US" w:eastAsia="zh-CN"/>
        </w:rPr>
        <w:t>表2  江化微通用化学品及指标</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
      <w:tblGrid>
        <w:gridCol w:w="1012"/>
        <w:gridCol w:w="1755"/>
        <w:gridCol w:w="972"/>
        <w:gridCol w:w="948"/>
        <w:gridCol w:w="984"/>
        <w:gridCol w:w="948"/>
        <w:gridCol w:w="972"/>
        <w:gridCol w:w="931"/>
      </w:tblGrid>
      <w:tr>
        <w:trPr>
          <w:trHeight w:val="254" w:hRule="atLeast"/>
        </w:trPr>
        <w:tc>
          <w:tcPr>
            <w:tcW w:w="1012" w:type="dxa"/>
            <w:vMerge w:val="restart"/>
            <w:tcBorders/>
          </w:tcPr>
          <w:p>
            <w:pPr>
              <w:pStyle w:val="style0"/>
              <w:numPr>
                <w:ilvl w:val="0"/>
                <w:numId w:val="0"/>
              </w:numPr>
              <w:spacing w:lineRule="auto" w:line="24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类别</w:t>
            </w:r>
          </w:p>
        </w:tc>
        <w:tc>
          <w:tcPr>
            <w:tcW w:w="1755" w:type="dxa"/>
            <w:vMerge w:val="restart"/>
            <w:tcBorders/>
          </w:tcPr>
          <w:p>
            <w:pPr>
              <w:pStyle w:val="style0"/>
              <w:numPr>
                <w:ilvl w:val="0"/>
                <w:numId w:val="0"/>
              </w:numPr>
              <w:spacing w:lineRule="auto" w:line="24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产品</w:t>
            </w:r>
          </w:p>
        </w:tc>
        <w:tc>
          <w:tcPr>
            <w:tcW w:w="972" w:type="dxa"/>
            <w:vMerge w:val="restart"/>
            <w:tcBorders/>
          </w:tcPr>
          <w:p>
            <w:pPr>
              <w:pStyle w:val="style0"/>
              <w:numPr>
                <w:ilvl w:val="0"/>
                <w:numId w:val="0"/>
              </w:numPr>
              <w:spacing w:lineRule="auto" w:line="24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化学式</w:t>
            </w:r>
          </w:p>
        </w:tc>
        <w:tc>
          <w:tcPr>
            <w:tcW w:w="4783" w:type="dxa"/>
            <w:gridSpan w:val="5"/>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指标</w:t>
            </w:r>
          </w:p>
        </w:tc>
      </w:tr>
      <w:tr>
        <w:tblPrEx/>
        <w:trPr>
          <w:trHeight w:val="194" w:hRule="atLeast"/>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97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G5</w:t>
            </w: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G4</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G3</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G2</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G1</w:t>
            </w:r>
          </w:p>
        </w:tc>
      </w:tr>
      <w:tr>
        <w:tblPrEx/>
        <w:trPr/>
        <w:tc>
          <w:tcPr>
            <w:tcW w:w="1012" w:type="dxa"/>
            <w:vMerge w:val="restart"/>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酸碱类</w:t>
            </w: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kern w:val="2"/>
                <w:sz w:val="21"/>
                <w:szCs w:val="21"/>
                <w:u w:val="none"/>
                <w:vertAlign w:val="baseline"/>
                <w:lang w:val="en-US" w:bidi="ar-SA" w:eastAsia="zh-CN"/>
              </w:rPr>
            </w:pPr>
            <w:r>
              <w:rPr>
                <w:rFonts w:ascii="宋体" w:cs="宋体" w:eastAsia="宋体" w:hAnsi="宋体" w:hint="eastAsia"/>
                <w:b w:val="false"/>
                <w:bCs w:val="false"/>
                <w:sz w:val="21"/>
                <w:szCs w:val="21"/>
                <w:u w:val="none"/>
                <w:vertAlign w:val="baseline"/>
                <w:lang w:val="en-US" w:eastAsia="zh-CN"/>
              </w:rPr>
              <w:t>硫酸</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kern w:val="2"/>
                <w:sz w:val="21"/>
                <w:szCs w:val="21"/>
                <w:u w:val="none"/>
                <w:vertAlign w:val="baseline"/>
                <w:lang w:val="en-US" w:bidi="ar-SA" w:eastAsia="zh-CN"/>
              </w:rPr>
            </w:pPr>
            <w:r>
              <w:rPr>
                <w:rFonts w:ascii="宋体" w:cs="宋体" w:eastAsia="宋体" w:hAnsi="宋体" w:hint="eastAsia"/>
                <w:b w:val="false"/>
                <w:bCs w:val="false"/>
                <w:sz w:val="21"/>
                <w:szCs w:val="21"/>
                <w:u w:val="none"/>
                <w:vertAlign w:val="baseline"/>
                <w:lang w:val="en-US" w:eastAsia="zh-CN"/>
              </w:rPr>
              <w:t>H</w:t>
            </w:r>
            <w:r>
              <w:rPr>
                <w:rFonts w:ascii="宋体" w:cs="宋体" w:eastAsia="宋体" w:hAnsi="宋体" w:hint="eastAsia"/>
                <w:b w:val="false"/>
                <w:bCs w:val="false"/>
                <w:sz w:val="21"/>
                <w:szCs w:val="21"/>
                <w:u w:val="none"/>
                <w:vertAlign w:val="subscript"/>
                <w:lang w:val="en-US" w:eastAsia="zh-CN"/>
              </w:rPr>
              <w:t>2</w:t>
            </w:r>
            <w:r>
              <w:rPr>
                <w:rFonts w:ascii="宋体" w:cs="宋体" w:eastAsia="宋体" w:hAnsi="宋体" w:hint="eastAsia"/>
                <w:b w:val="false"/>
                <w:bCs w:val="false"/>
                <w:sz w:val="21"/>
                <w:szCs w:val="21"/>
                <w:u w:val="none"/>
                <w:vertAlign w:val="baseline"/>
                <w:lang w:val="en-US" w:eastAsia="zh-CN"/>
              </w:rPr>
              <w:t>SO</w:t>
            </w:r>
            <w:r>
              <w:rPr>
                <w:rFonts w:ascii="宋体" w:cs="宋体" w:eastAsia="宋体" w:hAnsi="宋体" w:hint="eastAsia"/>
                <w:b w:val="false"/>
                <w:bCs w:val="false"/>
                <w:sz w:val="21"/>
                <w:szCs w:val="21"/>
                <w:u w:val="none"/>
                <w:vertAlign w:val="subscript"/>
                <w:lang w:val="en-US" w:eastAsia="zh-CN"/>
              </w:rPr>
              <w:t>4</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w:t>
            </w: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rHeight w:val="90" w:hRule="atLeast"/>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kern w:val="2"/>
                <w:sz w:val="21"/>
                <w:szCs w:val="21"/>
                <w:u w:val="none"/>
                <w:vertAlign w:val="baseline"/>
                <w:lang w:val="en-US" w:bidi="ar-SA" w:eastAsia="zh-CN"/>
              </w:rPr>
            </w:pPr>
            <w:r>
              <w:rPr>
                <w:rFonts w:ascii="宋体" w:cs="宋体" w:eastAsia="宋体" w:hAnsi="宋体" w:hint="eastAsia"/>
                <w:b w:val="false"/>
                <w:bCs w:val="false"/>
                <w:sz w:val="21"/>
                <w:szCs w:val="21"/>
                <w:u w:val="none"/>
                <w:vertAlign w:val="baseline"/>
                <w:lang w:val="en-US" w:eastAsia="zh-CN"/>
              </w:rPr>
              <w:t>氨水</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kern w:val="2"/>
                <w:sz w:val="21"/>
                <w:szCs w:val="21"/>
                <w:u w:val="none"/>
                <w:vertAlign w:val="baseline"/>
                <w:lang w:val="en-US" w:bidi="ar-SA" w:eastAsia="zh-CN"/>
              </w:rPr>
            </w:pPr>
            <w:r>
              <w:rPr>
                <w:rFonts w:ascii="宋体" w:cs="宋体" w:eastAsia="宋体" w:hAnsi="宋体" w:hint="eastAsia"/>
                <w:b w:val="false"/>
                <w:bCs w:val="false"/>
                <w:sz w:val="21"/>
                <w:szCs w:val="21"/>
                <w:u w:val="none"/>
                <w:vertAlign w:val="baseline"/>
                <w:lang w:val="en-US" w:eastAsia="zh-CN"/>
              </w:rPr>
              <w:t>NH</w:t>
            </w:r>
            <w:r>
              <w:rPr>
                <w:rFonts w:ascii="宋体" w:cs="宋体" w:eastAsia="宋体" w:hAnsi="宋体" w:hint="eastAsia"/>
                <w:b w:val="false"/>
                <w:bCs w:val="false"/>
                <w:sz w:val="21"/>
                <w:szCs w:val="21"/>
                <w:u w:val="none"/>
                <w:vertAlign w:val="subscript"/>
                <w:lang w:val="en-US" w:eastAsia="zh-CN"/>
              </w:rPr>
              <w:t>4</w:t>
            </w:r>
            <w:r>
              <w:rPr>
                <w:rFonts w:ascii="宋体" w:cs="宋体" w:eastAsia="宋体" w:hAnsi="宋体" w:hint="eastAsia"/>
                <w:b w:val="false"/>
                <w:bCs w:val="false"/>
                <w:sz w:val="21"/>
                <w:szCs w:val="21"/>
                <w:u w:val="none"/>
                <w:vertAlign w:val="baseline"/>
                <w:lang w:val="en-US" w:eastAsia="zh-CN"/>
              </w:rPr>
              <w:t>OH</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w:t>
            </w: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过氧化氢</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H</w:t>
            </w:r>
            <w:r>
              <w:rPr>
                <w:rFonts w:ascii="宋体" w:cs="宋体" w:eastAsia="宋体" w:hAnsi="宋体" w:hint="eastAsia"/>
                <w:b w:val="false"/>
                <w:bCs w:val="false"/>
                <w:sz w:val="21"/>
                <w:szCs w:val="21"/>
                <w:u w:val="none"/>
                <w:vertAlign w:val="subscript"/>
                <w:lang w:val="en-US" w:eastAsia="zh-CN"/>
              </w:rPr>
              <w:t>2</w:t>
            </w:r>
            <w:r>
              <w:rPr>
                <w:rFonts w:ascii="宋体" w:cs="宋体" w:eastAsia="宋体" w:hAnsi="宋体" w:hint="eastAsia"/>
                <w:b w:val="false"/>
                <w:bCs w:val="false"/>
                <w:sz w:val="21"/>
                <w:szCs w:val="21"/>
                <w:u w:val="none"/>
                <w:vertAlign w:val="baseline"/>
                <w:lang w:val="en-US" w:eastAsia="zh-CN"/>
              </w:rPr>
              <w:t>O</w:t>
            </w:r>
            <w:r>
              <w:rPr>
                <w:rFonts w:ascii="宋体" w:cs="宋体" w:eastAsia="宋体" w:hAnsi="宋体" w:hint="eastAsia"/>
                <w:b w:val="false"/>
                <w:bCs w:val="false"/>
                <w:sz w:val="21"/>
                <w:szCs w:val="21"/>
                <w:u w:val="none"/>
                <w:vertAlign w:val="subscript"/>
                <w:lang w:val="en-US" w:eastAsia="zh-CN"/>
              </w:rPr>
              <w:t>2</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盐酸</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HCl</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w:t>
            </w: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硝酸</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HNO</w:t>
            </w:r>
            <w:r>
              <w:rPr>
                <w:rFonts w:ascii="宋体" w:cs="宋体" w:eastAsia="宋体" w:hAnsi="宋体" w:hint="eastAsia"/>
                <w:b w:val="false"/>
                <w:bCs w:val="false"/>
                <w:sz w:val="21"/>
                <w:szCs w:val="21"/>
                <w:u w:val="none"/>
                <w:vertAlign w:val="subscript"/>
                <w:lang w:val="en-US" w:eastAsia="zh-CN"/>
              </w:rPr>
              <w:t>3</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磷酸</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H</w:t>
            </w:r>
            <w:r>
              <w:rPr>
                <w:rFonts w:ascii="宋体" w:cs="宋体" w:eastAsia="宋体" w:hAnsi="宋体" w:hint="eastAsia"/>
                <w:b w:val="false"/>
                <w:bCs w:val="false"/>
                <w:sz w:val="21"/>
                <w:szCs w:val="21"/>
                <w:u w:val="none"/>
                <w:vertAlign w:val="subscript"/>
                <w:lang w:val="en-US" w:eastAsia="zh-CN"/>
              </w:rPr>
              <w:t>3</w:t>
            </w:r>
            <w:r>
              <w:rPr>
                <w:rFonts w:ascii="宋体" w:cs="宋体" w:eastAsia="宋体" w:hAnsi="宋体" w:hint="eastAsia"/>
                <w:b w:val="false"/>
                <w:bCs w:val="false"/>
                <w:sz w:val="21"/>
                <w:szCs w:val="21"/>
                <w:u w:val="none"/>
                <w:vertAlign w:val="baseline"/>
                <w:lang w:val="en-US" w:eastAsia="zh-CN"/>
              </w:rPr>
              <w:t>PO</w:t>
            </w:r>
            <w:r>
              <w:rPr>
                <w:rFonts w:ascii="宋体" w:cs="宋体" w:eastAsia="宋体" w:hAnsi="宋体" w:hint="eastAsia"/>
                <w:b w:val="false"/>
                <w:bCs w:val="false"/>
                <w:sz w:val="21"/>
                <w:szCs w:val="21"/>
                <w:u w:val="none"/>
                <w:vertAlign w:val="subscript"/>
                <w:lang w:val="en-US" w:eastAsia="zh-CN"/>
              </w:rPr>
              <w:t>4</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氢氟酸</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HF</w:t>
            </w:r>
          </w:p>
        </w:tc>
        <w:tc>
          <w:tcPr>
            <w:tcW w:w="948" w:type="dxa"/>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冰乙酸</w:t>
            </w:r>
          </w:p>
        </w:tc>
        <w:tc>
          <w:tcPr>
            <w:tcW w:w="972"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CH</w:t>
            </w:r>
            <w:r>
              <w:rPr>
                <w:rFonts w:ascii="宋体" w:cs="宋体" w:eastAsia="宋体" w:hAnsi="宋体" w:hint="eastAsia"/>
                <w:b w:val="false"/>
                <w:bCs w:val="false"/>
                <w:sz w:val="21"/>
                <w:szCs w:val="21"/>
                <w:u w:val="none"/>
                <w:vertAlign w:val="subscript"/>
                <w:lang w:val="en-US" w:eastAsia="zh-CN"/>
              </w:rPr>
              <w:t>3</w:t>
            </w:r>
            <w:r>
              <w:rPr>
                <w:rFonts w:ascii="宋体" w:cs="宋体" w:eastAsia="宋体" w:hAnsi="宋体" w:hint="eastAsia"/>
                <w:b w:val="false"/>
                <w:bCs w:val="false"/>
                <w:sz w:val="21"/>
                <w:szCs w:val="21"/>
                <w:u w:val="none"/>
                <w:vertAlign w:val="baseline"/>
                <w:lang w:val="en-US" w:eastAsia="zh-CN"/>
              </w:rPr>
              <w:t>COOH</w:t>
            </w:r>
          </w:p>
        </w:tc>
        <w:tc>
          <w:tcPr>
            <w:tcW w:w="948"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氟化铵</w:t>
            </w:r>
          </w:p>
        </w:tc>
        <w:tc>
          <w:tcPr>
            <w:tcW w:w="972"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NH</w:t>
            </w:r>
            <w:r>
              <w:rPr>
                <w:rFonts w:ascii="宋体" w:cs="宋体" w:eastAsia="宋体" w:hAnsi="宋体" w:hint="eastAsia"/>
                <w:b w:val="false"/>
                <w:bCs w:val="false"/>
                <w:sz w:val="21"/>
                <w:szCs w:val="21"/>
                <w:u w:val="none"/>
                <w:vertAlign w:val="subscript"/>
                <w:lang w:val="en-US" w:eastAsia="zh-CN"/>
              </w:rPr>
              <w:t>4</w:t>
            </w:r>
            <w:r>
              <w:rPr>
                <w:rFonts w:ascii="宋体" w:cs="宋体" w:eastAsia="宋体" w:hAnsi="宋体" w:hint="eastAsia"/>
                <w:b w:val="false"/>
                <w:bCs w:val="false"/>
                <w:sz w:val="21"/>
                <w:szCs w:val="21"/>
                <w:u w:val="none"/>
                <w:vertAlign w:val="baseline"/>
                <w:lang w:val="en-US" w:eastAsia="zh-CN"/>
              </w:rPr>
              <w:t>F</w:t>
            </w:r>
          </w:p>
        </w:tc>
        <w:tc>
          <w:tcPr>
            <w:tcW w:w="948"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胆碱</w:t>
            </w:r>
          </w:p>
        </w:tc>
        <w:tc>
          <w:tcPr>
            <w:tcW w:w="972"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C</w:t>
            </w:r>
            <w:r>
              <w:rPr>
                <w:rFonts w:ascii="宋体" w:cs="宋体" w:eastAsia="宋体" w:hAnsi="宋体" w:hint="eastAsia"/>
                <w:b w:val="false"/>
                <w:bCs w:val="false"/>
                <w:sz w:val="21"/>
                <w:szCs w:val="21"/>
                <w:u w:val="none"/>
                <w:vertAlign w:val="subscript"/>
                <w:lang w:val="en-US" w:eastAsia="zh-CN"/>
              </w:rPr>
              <w:t>5</w:t>
            </w:r>
            <w:r>
              <w:rPr>
                <w:rFonts w:ascii="宋体" w:cs="宋体" w:eastAsia="宋体" w:hAnsi="宋体" w:hint="eastAsia"/>
                <w:b w:val="false"/>
                <w:bCs w:val="false"/>
                <w:sz w:val="21"/>
                <w:szCs w:val="21"/>
                <w:u w:val="none"/>
                <w:vertAlign w:val="baseline"/>
                <w:lang w:val="en-US" w:eastAsia="zh-CN"/>
              </w:rPr>
              <w:t>H</w:t>
            </w:r>
            <w:r>
              <w:rPr>
                <w:rFonts w:ascii="宋体" w:cs="宋体" w:eastAsia="宋体" w:hAnsi="宋体" w:hint="eastAsia"/>
                <w:b w:val="false"/>
                <w:bCs w:val="false"/>
                <w:sz w:val="21"/>
                <w:szCs w:val="21"/>
                <w:u w:val="none"/>
                <w:vertAlign w:val="subscript"/>
                <w:lang w:val="en-US" w:eastAsia="zh-CN"/>
              </w:rPr>
              <w:t>14</w:t>
            </w:r>
            <w:r>
              <w:rPr>
                <w:rFonts w:ascii="宋体" w:cs="宋体" w:eastAsia="宋体" w:hAnsi="宋体" w:hint="eastAsia"/>
                <w:b w:val="false"/>
                <w:bCs w:val="false"/>
                <w:sz w:val="21"/>
                <w:szCs w:val="21"/>
                <w:u w:val="none"/>
                <w:vertAlign w:val="baseline"/>
                <w:lang w:val="en-US" w:eastAsia="zh-CN"/>
              </w:rPr>
              <w:t>ON+</w:t>
            </w:r>
          </w:p>
        </w:tc>
        <w:tc>
          <w:tcPr>
            <w:tcW w:w="948"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氢氧化钾</w:t>
            </w:r>
          </w:p>
        </w:tc>
        <w:tc>
          <w:tcPr>
            <w:tcW w:w="972"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KOH</w:t>
            </w:r>
          </w:p>
        </w:tc>
        <w:tc>
          <w:tcPr>
            <w:tcW w:w="948"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氢氧化钠</w:t>
            </w:r>
          </w:p>
        </w:tc>
        <w:tc>
          <w:tcPr>
            <w:tcW w:w="972"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NaOH</w:t>
            </w:r>
          </w:p>
        </w:tc>
        <w:tc>
          <w:tcPr>
            <w:tcW w:w="948"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rHeight w:val="278" w:hRule="atLeast"/>
        </w:trPr>
        <w:tc>
          <w:tcPr>
            <w:tcW w:w="1012" w:type="dxa"/>
            <w:vMerge w:val="restart"/>
            <w:tcBorders/>
          </w:tcPr>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both"/>
              <w:rPr>
                <w:rFonts w:ascii="宋体" w:cs="宋体" w:eastAsia="宋体" w:hAnsi="宋体" w:hint="eastAsia"/>
                <w:b w:val="false"/>
                <w:bCs w:val="false"/>
                <w:sz w:val="21"/>
                <w:szCs w:val="21"/>
                <w:u w:val="none"/>
                <w:vertAlign w:val="baseline"/>
                <w:lang w:val="en-US" w:eastAsia="zh-CN"/>
              </w:rPr>
            </w:pPr>
          </w:p>
          <w:p>
            <w:pPr>
              <w:pStyle w:val="style0"/>
              <w:numPr>
                <w:ilvl w:val="0"/>
                <w:numId w:val="0"/>
              </w:numPr>
              <w:jc w:val="center"/>
              <w:rPr>
                <w:rFonts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溶剂类</w:t>
            </w:r>
          </w:p>
        </w:tc>
        <w:tc>
          <w:tcPr>
            <w:tcW w:w="1755" w:type="dxa"/>
            <w:tcBorders/>
          </w:tcPr>
          <w:p>
            <w:pPr>
              <w:pStyle w:val="style0"/>
              <w:numPr>
                <w:ilvl w:val="0"/>
                <w:numId w:val="0"/>
              </w:numPr>
              <w:spacing w:lineRule="auto" w:line="240"/>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甲醇</w:t>
            </w:r>
          </w:p>
        </w:tc>
        <w:tc>
          <w:tcPr>
            <w:tcW w:w="972" w:type="dxa"/>
            <w:tcBorders/>
          </w:tcPr>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CH</w:t>
            </w:r>
            <w:r>
              <w:rPr>
                <w:rFonts w:hint="eastAsia"/>
                <w:b w:val="false"/>
                <w:bCs w:val="false"/>
                <w:sz w:val="21"/>
                <w:szCs w:val="21"/>
                <w:u w:val="none"/>
                <w:vertAlign w:val="subscript"/>
                <w:lang w:val="en-US" w:eastAsia="zh-CN"/>
              </w:rPr>
              <w:t>3</w:t>
            </w:r>
            <w:r>
              <w:rPr>
                <w:rFonts w:hint="eastAsia"/>
                <w:b w:val="false"/>
                <w:bCs w:val="false"/>
                <w:sz w:val="21"/>
                <w:szCs w:val="21"/>
                <w:u w:val="none"/>
                <w:vertAlign w:val="baseline"/>
                <w:lang w:val="en-US" w:eastAsia="zh-CN"/>
              </w:rPr>
              <w:t>OH</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乙醇</w:t>
            </w:r>
          </w:p>
        </w:tc>
        <w:tc>
          <w:tcPr>
            <w:tcW w:w="972" w:type="dxa"/>
            <w:tcBorders/>
          </w:tcPr>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CH</w:t>
            </w:r>
            <w:r>
              <w:rPr>
                <w:rFonts w:hint="eastAsia"/>
                <w:b w:val="false"/>
                <w:bCs w:val="false"/>
                <w:sz w:val="21"/>
                <w:szCs w:val="21"/>
                <w:u w:val="none"/>
                <w:vertAlign w:val="subscript"/>
                <w:lang w:val="en-US" w:eastAsia="zh-CN"/>
              </w:rPr>
              <w:t>2</w:t>
            </w:r>
            <w:r>
              <w:rPr>
                <w:rFonts w:hint="eastAsia"/>
                <w:b w:val="false"/>
                <w:bCs w:val="false"/>
                <w:sz w:val="21"/>
                <w:szCs w:val="21"/>
                <w:u w:val="none"/>
                <w:vertAlign w:val="baseline"/>
                <w:lang w:val="en-US" w:eastAsia="zh-CN"/>
              </w:rPr>
              <w:t>O</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异丙醇</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2</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6</w:t>
            </w:r>
            <w:r>
              <w:rPr>
                <w:rFonts w:hint="eastAsia"/>
                <w:b w:val="false"/>
                <w:bCs w:val="false"/>
                <w:sz w:val="21"/>
                <w:szCs w:val="21"/>
                <w:u w:val="none"/>
                <w:vertAlign w:val="baseline"/>
                <w:lang w:val="en-US" w:eastAsia="zh-CN"/>
              </w:rPr>
              <w:t>O</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丙酮</w:t>
            </w:r>
          </w:p>
        </w:tc>
        <w:tc>
          <w:tcPr>
            <w:tcW w:w="972" w:type="dxa"/>
            <w:tcBorders/>
          </w:tcPr>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3</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6</w:t>
            </w:r>
            <w:r>
              <w:rPr>
                <w:rFonts w:hint="eastAsia"/>
                <w:b w:val="false"/>
                <w:bCs w:val="false"/>
                <w:sz w:val="21"/>
                <w:szCs w:val="21"/>
                <w:u w:val="none"/>
                <w:vertAlign w:val="baseline"/>
                <w:lang w:val="en-US" w:eastAsia="zh-CN"/>
              </w:rPr>
              <w:t>O</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醋酸丁酯</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6</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12</w:t>
            </w:r>
            <w:r>
              <w:rPr>
                <w:rFonts w:hint="eastAsia"/>
                <w:b w:val="false"/>
                <w:bCs w:val="false"/>
                <w:sz w:val="21"/>
                <w:szCs w:val="21"/>
                <w:u w:val="none"/>
                <w:vertAlign w:val="baseline"/>
                <w:lang w:val="en-US" w:eastAsia="zh-CN"/>
              </w:rPr>
              <w:t>O</w:t>
            </w:r>
            <w:r>
              <w:rPr>
                <w:rFonts w:hint="eastAsia"/>
                <w:b w:val="false"/>
                <w:bCs w:val="false"/>
                <w:sz w:val="21"/>
                <w:szCs w:val="21"/>
                <w:u w:val="none"/>
                <w:vertAlign w:val="subscript"/>
                <w:lang w:val="en-US" w:eastAsia="zh-CN"/>
              </w:rPr>
              <w:t>2</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乙二醇</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2</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6</w:t>
            </w:r>
            <w:r>
              <w:rPr>
                <w:rFonts w:hint="eastAsia"/>
                <w:b w:val="false"/>
                <w:bCs w:val="false"/>
                <w:sz w:val="21"/>
                <w:szCs w:val="21"/>
                <w:u w:val="none"/>
                <w:vertAlign w:val="baseline"/>
                <w:lang w:val="en-US" w:eastAsia="zh-CN"/>
              </w:rPr>
              <w:t>O</w:t>
            </w:r>
            <w:r>
              <w:rPr>
                <w:rFonts w:hint="eastAsia"/>
                <w:b w:val="false"/>
                <w:bCs w:val="false"/>
                <w:sz w:val="21"/>
                <w:szCs w:val="21"/>
                <w:u w:val="none"/>
                <w:vertAlign w:val="subscript"/>
                <w:lang w:val="en-US" w:eastAsia="zh-CN"/>
              </w:rPr>
              <w:t>2</w:t>
            </w:r>
          </w:p>
        </w:tc>
        <w:tc>
          <w:tcPr>
            <w:tcW w:w="948"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rHeight w:val="362" w:hRule="atLeast"/>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N-甲基吡咯烷酮</w:t>
            </w:r>
          </w:p>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p>
        </w:tc>
        <w:tc>
          <w:tcPr>
            <w:tcW w:w="972" w:type="dxa"/>
            <w:tcBorders/>
          </w:tcPr>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5</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9</w:t>
            </w:r>
            <w:r>
              <w:rPr>
                <w:rFonts w:hint="eastAsia"/>
                <w:b w:val="false"/>
                <w:bCs w:val="false"/>
                <w:sz w:val="21"/>
                <w:szCs w:val="21"/>
                <w:u w:val="none"/>
                <w:vertAlign w:val="baseline"/>
                <w:lang w:val="en-US" w:eastAsia="zh-CN"/>
              </w:rPr>
              <w:t>NO</w:t>
            </w:r>
          </w:p>
        </w:tc>
        <w:tc>
          <w:tcPr>
            <w:tcW w:w="948"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丙二醇单甲醚</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4</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10</w:t>
            </w:r>
            <w:r>
              <w:rPr>
                <w:rFonts w:hint="eastAsia"/>
                <w:b w:val="false"/>
                <w:bCs w:val="false"/>
                <w:sz w:val="21"/>
                <w:szCs w:val="21"/>
                <w:u w:val="none"/>
                <w:vertAlign w:val="baseline"/>
                <w:lang w:val="en-US" w:eastAsia="zh-CN"/>
              </w:rPr>
              <w:t>O</w:t>
            </w:r>
            <w:r>
              <w:rPr>
                <w:rFonts w:hint="eastAsia"/>
                <w:b w:val="false"/>
                <w:bCs w:val="false"/>
                <w:sz w:val="21"/>
                <w:szCs w:val="21"/>
                <w:u w:val="none"/>
                <w:vertAlign w:val="subscript"/>
                <w:lang w:val="en-US" w:eastAsia="zh-CN"/>
              </w:rPr>
              <w:t>2</w:t>
            </w:r>
          </w:p>
        </w:tc>
        <w:tc>
          <w:tcPr>
            <w:tcW w:w="948"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vMerge w:val="continue"/>
            <w:tcBorders/>
          </w:tcPr>
          <w:p>
            <w:pPr>
              <w:pStyle w:val="style0"/>
              <w:numPr>
                <w:ilvl w:val="0"/>
                <w:numId w:val="0"/>
              </w:numPr>
              <w:jc w:val="center"/>
              <w:rPr>
                <w:rFonts w:hint="eastAsia"/>
                <w:b w:val="false"/>
                <w:bCs w:val="false"/>
                <w:sz w:val="21"/>
                <w:szCs w:val="21"/>
                <w:u w:val="none"/>
                <w:vertAlign w:val="baseline"/>
                <w:lang w:val="en-US" w:eastAsia="zh-CN"/>
              </w:rPr>
            </w:pP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丙二醇单甲醚醋酸酯</w:t>
            </w:r>
          </w:p>
        </w:tc>
        <w:tc>
          <w:tcPr>
            <w:tcW w:w="972" w:type="dxa"/>
            <w:tcBorders/>
          </w:tcPr>
          <w:p>
            <w:pPr>
              <w:pStyle w:val="style0"/>
              <w:numPr>
                <w:ilvl w:val="0"/>
                <w:numId w:val="0"/>
              </w:numPr>
              <w:ind w:left="0" w:leftChars="0" w:firstLine="0" w:firstLineChars="0"/>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C</w:t>
            </w:r>
            <w:r>
              <w:rPr>
                <w:rFonts w:hint="eastAsia"/>
                <w:b w:val="false"/>
                <w:bCs w:val="false"/>
                <w:sz w:val="21"/>
                <w:szCs w:val="21"/>
                <w:u w:val="none"/>
                <w:vertAlign w:val="subscript"/>
                <w:lang w:val="en-US" w:eastAsia="zh-CN"/>
              </w:rPr>
              <w:t>6</w:t>
            </w:r>
            <w:r>
              <w:rPr>
                <w:rFonts w:hint="eastAsia"/>
                <w:b w:val="false"/>
                <w:bCs w:val="false"/>
                <w:sz w:val="21"/>
                <w:szCs w:val="21"/>
                <w:u w:val="none"/>
                <w:vertAlign w:val="baseline"/>
                <w:lang w:val="en-US" w:eastAsia="zh-CN"/>
              </w:rPr>
              <w:t>H</w:t>
            </w:r>
            <w:r>
              <w:rPr>
                <w:rFonts w:hint="eastAsia"/>
                <w:b w:val="false"/>
                <w:bCs w:val="false"/>
                <w:sz w:val="21"/>
                <w:szCs w:val="21"/>
                <w:u w:val="none"/>
                <w:vertAlign w:val="subscript"/>
                <w:lang w:val="en-US" w:eastAsia="zh-CN"/>
              </w:rPr>
              <w:t>12</w:t>
            </w:r>
            <w:r>
              <w:rPr>
                <w:rFonts w:hint="eastAsia"/>
                <w:b w:val="false"/>
                <w:bCs w:val="false"/>
                <w:sz w:val="21"/>
                <w:szCs w:val="21"/>
                <w:u w:val="none"/>
                <w:vertAlign w:val="baseline"/>
                <w:lang w:val="en-US" w:eastAsia="zh-CN"/>
              </w:rPr>
              <w:t xml:space="preserve"> O</w:t>
            </w:r>
            <w:r>
              <w:rPr>
                <w:rFonts w:hint="eastAsia"/>
                <w:b w:val="false"/>
                <w:bCs w:val="false"/>
                <w:sz w:val="21"/>
                <w:szCs w:val="21"/>
                <w:u w:val="none"/>
                <w:vertAlign w:val="subscript"/>
                <w:lang w:val="en-US" w:eastAsia="zh-CN"/>
              </w:rPr>
              <w:t>3</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r>
        <w:tblPrEx/>
        <w:trPr/>
        <w:tc>
          <w:tcPr>
            <w:tcW w:w="1012" w:type="dxa"/>
            <w:tcBorders/>
          </w:tcPr>
          <w:p>
            <w:pPr>
              <w:pStyle w:val="style0"/>
              <w:numPr>
                <w:ilvl w:val="0"/>
                <w:numId w:val="0"/>
              </w:numPr>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其他类</w:t>
            </w:r>
          </w:p>
        </w:tc>
        <w:tc>
          <w:tcPr>
            <w:tcW w:w="1755"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三氯氧磷</w:t>
            </w:r>
          </w:p>
        </w:tc>
        <w:tc>
          <w:tcPr>
            <w:tcW w:w="972" w:type="dxa"/>
            <w:tcBorders/>
          </w:tcPr>
          <w:p>
            <w:pPr>
              <w:pStyle w:val="style0"/>
              <w:numPr>
                <w:ilvl w:val="0"/>
                <w:numId w:val="0"/>
              </w:numPr>
              <w:ind w:left="0" w:leftChars="0" w:firstLine="0" w:firstLineChars="0"/>
              <w:jc w:val="center"/>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POCl</w:t>
            </w:r>
            <w:r>
              <w:rPr>
                <w:rFonts w:hint="eastAsia"/>
                <w:b w:val="false"/>
                <w:bCs w:val="false"/>
                <w:sz w:val="21"/>
                <w:szCs w:val="21"/>
                <w:u w:val="none"/>
                <w:vertAlign w:val="subscript"/>
                <w:lang w:val="en-US" w:eastAsia="zh-CN"/>
              </w:rPr>
              <w:t>3</w:t>
            </w: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84"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48" w:type="dxa"/>
            <w:tcBorders/>
          </w:tcPr>
          <w:p>
            <w:pPr>
              <w:pStyle w:val="style0"/>
              <w:numPr>
                <w:ilvl w:val="0"/>
                <w:numId w:val="0"/>
              </w:numPr>
              <w:jc w:val="center"/>
              <w:rPr>
                <w:rFonts w:hint="eastAsia"/>
                <w:b w:val="false"/>
                <w:bCs w:val="false"/>
                <w:sz w:val="21"/>
                <w:szCs w:val="21"/>
                <w:u w:val="none"/>
                <w:vertAlign w:val="baseline"/>
                <w:lang w:val="en-US" w:eastAsia="zh-CN"/>
              </w:rPr>
            </w:pPr>
          </w:p>
        </w:tc>
        <w:tc>
          <w:tcPr>
            <w:tcW w:w="972"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c>
          <w:tcPr>
            <w:tcW w:w="931" w:type="dxa"/>
            <w:tcBorders/>
          </w:tcPr>
          <w:p>
            <w:pPr>
              <w:pStyle w:val="style0"/>
              <w:numPr>
                <w:ilvl w:val="0"/>
                <w:numId w:val="0"/>
              </w:numPr>
              <w:jc w:val="center"/>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w:t>
            </w:r>
          </w:p>
        </w:tc>
      </w:tr>
    </w:tbl>
    <w:p>
      <w:pPr>
        <w:pStyle w:val="style0"/>
        <w:numPr>
          <w:ilvl w:val="0"/>
          <w:numId w:val="0"/>
        </w:numPr>
        <w:jc w:val="center"/>
        <w:rPr>
          <w:rFonts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default"/>
          <w:b w:val="false"/>
          <w:bCs w:val="false"/>
          <w:sz w:val="21"/>
          <w:szCs w:val="21"/>
          <w:u w:val="none"/>
          <w:lang w:val="en-US" w:eastAsia="zh-CN"/>
        </w:rPr>
      </w:pPr>
      <w:r>
        <w:rPr>
          <w:rFonts w:hint="eastAsia"/>
          <w:b w:val="false"/>
          <w:bCs w:val="false"/>
          <w:sz w:val="21"/>
          <w:szCs w:val="21"/>
          <w:u w:val="none"/>
          <w:lang w:val="en-US" w:eastAsia="zh-CN"/>
        </w:rPr>
        <w:t>这里的指标采用了SEMI标准，这是由国际半导体设备与材料产业协会制定，其将湿电子化学品分为G1-G5五个等级。如G1等级湿电子化学品适用制程为＞1.2μm、金属杂质≤1000μg/L、颗粒度≤1.0μm；而G5等级湿电子化学品适用制程＜0.09μm、金属杂质≤0.01μg/L、颗粒度更小。详细指标见下表。</w:t>
      </w:r>
    </w:p>
    <w:p>
      <w:pPr>
        <w:pStyle w:val="style0"/>
        <w:numPr>
          <w:ilvl w:val="0"/>
          <w:numId w:val="0"/>
        </w:numPr>
        <w:jc w:val="center"/>
        <w:rPr>
          <w:rFonts w:hint="eastAsia"/>
          <w:b w:val="false"/>
          <w:bCs w:val="false"/>
          <w:sz w:val="21"/>
          <w:szCs w:val="21"/>
          <w:u w:val="none"/>
          <w:lang w:val="en-US" w:eastAsia="zh-CN"/>
        </w:rPr>
      </w:pPr>
    </w:p>
    <w:p>
      <w:pPr>
        <w:pStyle w:val="style0"/>
        <w:numPr>
          <w:ilvl w:val="0"/>
          <w:numId w:val="0"/>
        </w:numPr>
        <w:jc w:val="center"/>
        <w:rPr>
          <w:rFonts w:hint="eastAsia"/>
          <w:b w:val="false"/>
          <w:bCs w:val="false"/>
          <w:sz w:val="21"/>
          <w:szCs w:val="21"/>
          <w:u w:val="none"/>
          <w:lang w:val="en-US" w:eastAsia="zh-CN"/>
        </w:rPr>
      </w:pPr>
      <w:r>
        <w:rPr>
          <w:rFonts w:hint="eastAsia"/>
          <w:b w:val="false"/>
          <w:bCs w:val="false"/>
          <w:sz w:val="21"/>
          <w:szCs w:val="21"/>
          <w:u w:val="none"/>
          <w:lang w:val="en-US" w:eastAsia="zh-CN"/>
        </w:rPr>
        <w:t>表3  质量指标</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398"/>
        <w:gridCol w:w="1419"/>
        <w:gridCol w:w="1411"/>
        <w:gridCol w:w="1409"/>
        <w:gridCol w:w="1574"/>
        <w:gridCol w:w="1312"/>
      </w:tblGrid>
      <w:tr>
        <w:trPr/>
        <w:tc>
          <w:tcPr>
            <w:tcW w:w="142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SEMI</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G1</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G2</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G3</w:t>
            </w:r>
          </w:p>
        </w:tc>
        <w:tc>
          <w:tcPr>
            <w:tcW w:w="1587"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G4</w:t>
            </w:r>
          </w:p>
        </w:tc>
        <w:tc>
          <w:tcPr>
            <w:tcW w:w="1255"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G5</w:t>
            </w:r>
          </w:p>
        </w:tc>
      </w:tr>
      <w:tr>
        <w:tblPrEx/>
        <w:trPr/>
        <w:tc>
          <w:tcPr>
            <w:tcW w:w="142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金属杂质</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≤1000μg/L</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≤10μg/L</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≤1μg/L</w:t>
            </w:r>
          </w:p>
        </w:tc>
        <w:tc>
          <w:tcPr>
            <w:tcW w:w="1587"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≤0.1μg/L</w:t>
            </w:r>
          </w:p>
        </w:tc>
        <w:tc>
          <w:tcPr>
            <w:tcW w:w="1255"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≤0.01μg/L</w:t>
            </w:r>
          </w:p>
        </w:tc>
      </w:tr>
      <w:tr>
        <w:tblPrEx/>
        <w:trPr/>
        <w:tc>
          <w:tcPr>
            <w:tcW w:w="142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控制粒径</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≤1.0μm</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≤0.5μm</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≤0.5μm</w:t>
            </w:r>
          </w:p>
        </w:tc>
        <w:tc>
          <w:tcPr>
            <w:tcW w:w="1587"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≤0.2μm</w:t>
            </w:r>
          </w:p>
        </w:tc>
        <w:tc>
          <w:tcPr>
            <w:tcW w:w="1255"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w:t>
            </w:r>
          </w:p>
        </w:tc>
      </w:tr>
      <w:tr>
        <w:tblPrEx/>
        <w:trPr/>
        <w:tc>
          <w:tcPr>
            <w:tcW w:w="142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颗粒个数</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≤25</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≤25</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≤5</w:t>
            </w:r>
          </w:p>
        </w:tc>
        <w:tc>
          <w:tcPr>
            <w:tcW w:w="1587"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供需双方协定</w:t>
            </w:r>
          </w:p>
        </w:tc>
        <w:tc>
          <w:tcPr>
            <w:tcW w:w="1255"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w:t>
            </w:r>
          </w:p>
        </w:tc>
      </w:tr>
      <w:tr>
        <w:tblPrEx/>
        <w:trPr/>
        <w:tc>
          <w:tcPr>
            <w:tcW w:w="142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适应IC制程</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＞1.2μm</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0.8-1.2</w:t>
            </w:r>
          </w:p>
        </w:tc>
        <w:tc>
          <w:tcPr>
            <w:tcW w:w="1420"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0.2-0.6</w:t>
            </w:r>
          </w:p>
        </w:tc>
        <w:tc>
          <w:tcPr>
            <w:tcW w:w="1587"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0.09-0.2</w:t>
            </w:r>
          </w:p>
        </w:tc>
        <w:tc>
          <w:tcPr>
            <w:tcW w:w="1255"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&lt;0.09</w:t>
            </w:r>
          </w:p>
        </w:tc>
      </w:tr>
    </w:tbl>
    <w:p>
      <w:pPr>
        <w:pStyle w:val="style0"/>
        <w:numPr>
          <w:ilvl w:val="0"/>
          <w:numId w:val="0"/>
        </w:numPr>
        <w:ind w:firstLine="420" w:firstLineChars="200"/>
        <w:jc w:val="both"/>
        <w:rPr>
          <w:rFonts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非常可惜的是，江化微公司也生产功能化学品，但是其仅公布了化学品类别，而并未公布质量指标。这可能是因为功能化学品的具体成分尚需要根据制程工艺和要求配置，因此没有固定的配比，也就没有统一的质量指标。</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功能化学品的是由通用化学品配置而成。如显影液，早期的是氢氧化钾与水的混合物，现如今最普通的是四甲基氢氧化铵。因此可以根据前文列出的通用化学品的质量，大致限定其功能性化学品的质量。</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default"/>
          <w:b w:val="false"/>
          <w:bCs w:val="false"/>
          <w:sz w:val="21"/>
          <w:szCs w:val="21"/>
          <w:u w:val="none"/>
          <w:lang w:val="en-US" w:eastAsia="zh-CN"/>
        </w:rPr>
      </w:pPr>
      <w:r>
        <w:rPr>
          <w:rFonts w:hint="eastAsia"/>
          <w:b w:val="false"/>
          <w:bCs w:val="false"/>
          <w:sz w:val="21"/>
          <w:szCs w:val="21"/>
          <w:u w:val="none"/>
          <w:lang w:val="en-US" w:eastAsia="zh-CN"/>
        </w:rPr>
        <w:t>此外也可以根据其应用领域，大致判断功能化学品的质量。如显示面板领域一般要求达到G2、G3等级；集成电路领域，8英寸及以下晶圆要求达到G3、G4水平，12英寸晶圆需要达到G5等级。如下为江化微的功能性化学品的产品及其应用领域，信息来自江化微公司官网。</w:t>
      </w:r>
    </w:p>
    <w:p>
      <w:pPr>
        <w:pStyle w:val="style0"/>
        <w:numPr>
          <w:ilvl w:val="0"/>
          <w:numId w:val="0"/>
        </w:numPr>
        <w:ind w:firstLine="420" w:firstLineChars="200"/>
        <w:jc w:val="both"/>
        <w:rPr>
          <w:rFonts w:hint="default"/>
          <w:b w:val="false"/>
          <w:bCs w:val="false"/>
          <w:sz w:val="21"/>
          <w:szCs w:val="21"/>
          <w:u w:val="none"/>
          <w:lang w:val="en-US" w:eastAsia="zh-CN"/>
        </w:rPr>
      </w:pPr>
    </w:p>
    <w:p>
      <w:pPr>
        <w:pStyle w:val="style0"/>
        <w:numPr>
          <w:ilvl w:val="0"/>
          <w:numId w:val="0"/>
        </w:numPr>
        <w:ind w:firstLine="420" w:firstLineChars="200"/>
        <w:jc w:val="center"/>
        <w:rPr>
          <w:rFonts w:hint="default"/>
          <w:b w:val="false"/>
          <w:bCs w:val="false"/>
          <w:sz w:val="21"/>
          <w:szCs w:val="21"/>
          <w:u w:val="none"/>
          <w:lang w:val="en-US" w:eastAsia="zh-CN"/>
        </w:rPr>
      </w:pPr>
      <w:r>
        <w:rPr>
          <w:rFonts w:hint="eastAsia"/>
          <w:b w:val="false"/>
          <w:bCs w:val="false"/>
          <w:sz w:val="21"/>
          <w:szCs w:val="21"/>
          <w:u w:val="none"/>
          <w:lang w:val="en-US" w:eastAsia="zh-CN"/>
        </w:rPr>
        <w:t>表4  江化微功能化学品及指标</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2840"/>
        <w:gridCol w:w="2841"/>
        <w:gridCol w:w="2841"/>
      </w:tblGrid>
      <w:tr>
        <w:trPr/>
        <w:tc>
          <w:tcPr>
            <w:tcW w:w="284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类别</w:t>
            </w: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产品</w:t>
            </w: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应用领域</w:t>
            </w:r>
          </w:p>
        </w:tc>
      </w:tr>
      <w:tr>
        <w:tblPrEx/>
        <w:trPr/>
        <w:tc>
          <w:tcPr>
            <w:tcW w:w="2840" w:type="dxa"/>
            <w:vMerge w:val="restart"/>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显影、漂洗液</w:t>
            </w: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负胶显影液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负胶漂洗液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负胶显影漂洗液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正胶显影液(TMAH)</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OLED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正胶显影液(TMAH含活性剂)</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OLED</w:t>
            </w:r>
          </w:p>
        </w:tc>
      </w:tr>
      <w:tr>
        <w:tblPrEx/>
        <w:trPr/>
        <w:tc>
          <w:tcPr>
            <w:tcW w:w="2840" w:type="dxa"/>
            <w:vMerge w:val="restart"/>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剥离液</w:t>
            </w:r>
          </w:p>
        </w:tc>
        <w:tc>
          <w:tcPr>
            <w:tcW w:w="2841"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正胶剥离液(水系)</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FPD / OLED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正胶剥离液(有机系)</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IC/FPD / OLED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剥离清洗剂(铝制程)</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剥离清洗剂(铜制程)</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剥离去胶液(铝制程)</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剥离去胶液(化合物制程)</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剥离去胶液(先进封装)</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酸性剥离液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restart"/>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清洗剂</w:t>
            </w: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负胶剥离液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rHeight w:val="338" w:hRule="atLeast"/>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稀释剂</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rHeight w:val="374" w:hRule="atLeast"/>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边胶清洗剂（EBR)</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OLED</w:t>
            </w:r>
          </w:p>
        </w:tc>
      </w:tr>
      <w:tr>
        <w:tblPrEx/>
        <w:trPr/>
        <w:tc>
          <w:tcPr>
            <w:tcW w:w="2840" w:type="dxa"/>
            <w:vMerge w:val="restart"/>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p>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蚀刻类</w:t>
            </w: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清洗剂（铜、铝、PI、ITO）</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OLED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氟化铵腐蚀液(BOE）</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OLED  / PV</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低张力氟化铵腐蚀液（BOE）</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OLED  / PV</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铝蚀刻液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钼蚀刻液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钼铝/钼铝钼蚀刻液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硅蚀刻液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 / PV</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金蚀刻液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镍/银蚀刻液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铜蚀刻液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钛蚀刻液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铬蚀刻液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氢氟酸腐蚀液(含活性剂）</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r>
        <w:tblPrEx/>
        <w:trPr/>
        <w:tc>
          <w:tcPr>
            <w:tcW w:w="2840" w:type="dxa"/>
            <w:vMerge w:val="continue"/>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ITO蚀刻液</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FPD</w:t>
            </w:r>
          </w:p>
        </w:tc>
      </w:tr>
      <w:tr>
        <w:tblPrEx/>
        <w:trPr/>
        <w:tc>
          <w:tcPr>
            <w:tcW w:w="2840" w:type="dxa"/>
            <w:tcBorders/>
          </w:tcPr>
          <w:p>
            <w:pPr>
              <w:pStyle w:val="style0"/>
              <w:numPr>
                <w:ilvl w:val="0"/>
                <w:numId w:val="0"/>
              </w:numPr>
              <w:ind w:left="0" w:leftChars="0" w:firstLine="0" w:firstLineChars="0"/>
              <w:jc w:val="center"/>
              <w:rPr>
                <w:rFonts w:ascii="宋体" w:cs="宋体" w:eastAsia="宋体" w:hAnsi="宋体" w:hint="default"/>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其他</w:t>
            </w:r>
          </w:p>
        </w:tc>
        <w:tc>
          <w:tcPr>
            <w:tcW w:w="2841" w:type="dxa"/>
            <w:tcBorders/>
          </w:tcPr>
          <w:p>
            <w:pPr>
              <w:pStyle w:val="style0"/>
              <w:numPr>
                <w:ilvl w:val="0"/>
                <w:numId w:val="0"/>
              </w:numPr>
              <w:ind w:left="0" w:leftChars="0" w:firstLine="0" w:firstLineChars="0"/>
              <w:jc w:val="center"/>
              <w:rPr>
                <w:rFonts w:ascii="宋体" w:cs="宋体" w:eastAsia="宋体" w:hAnsi="宋体" w:hint="eastAsia"/>
                <w:b w:val="false"/>
                <w:bCs w:val="false"/>
                <w:sz w:val="21"/>
                <w:szCs w:val="21"/>
                <w:u w:val="none"/>
                <w:vertAlign w:val="baseline"/>
                <w:lang w:val="en-US" w:eastAsia="zh-CN"/>
              </w:rPr>
            </w:pPr>
            <w:r>
              <w:rPr>
                <w:rFonts w:ascii="宋体" w:cs="宋体" w:eastAsia="宋体" w:hAnsi="宋体" w:hint="eastAsia"/>
                <w:b w:val="false"/>
                <w:bCs w:val="false"/>
                <w:sz w:val="21"/>
                <w:szCs w:val="21"/>
                <w:u w:val="none"/>
                <w:vertAlign w:val="baseline"/>
                <w:lang w:val="en-US" w:eastAsia="zh-CN"/>
              </w:rPr>
              <w:t>增粘剂</w:t>
            </w:r>
          </w:p>
        </w:tc>
        <w:tc>
          <w:tcPr>
            <w:tcW w:w="2841" w:type="dxa"/>
            <w:tcBorders/>
          </w:tcPr>
          <w:p>
            <w:pPr>
              <w:pStyle w:val="style0"/>
              <w:numPr>
                <w:ilvl w:val="0"/>
                <w:numId w:val="0"/>
              </w:numPr>
              <w:ind w:left="0" w:leftChars="0" w:firstLine="0" w:firstLineChars="0"/>
              <w:jc w:val="center"/>
              <w:rPr>
                <w:rFonts w:ascii="Times New Roman" w:cs="Times New Roman" w:eastAsia="宋体" w:hAnsi="Times New Roman" w:hint="default"/>
                <w:b w:val="false"/>
                <w:bCs w:val="false"/>
                <w:sz w:val="21"/>
                <w:szCs w:val="21"/>
                <w:u w:val="none"/>
                <w:vertAlign w:val="baseline"/>
                <w:lang w:val="en-US" w:eastAsia="zh-CN"/>
              </w:rPr>
            </w:pPr>
            <w:r>
              <w:rPr>
                <w:rFonts w:ascii="Times New Roman" w:cs="Times New Roman" w:eastAsia="宋体" w:hAnsi="Times New Roman" w:hint="default"/>
                <w:b w:val="false"/>
                <w:bCs w:val="false"/>
                <w:sz w:val="21"/>
                <w:szCs w:val="21"/>
                <w:u w:val="none"/>
                <w:vertAlign w:val="baseline"/>
                <w:lang w:val="en-US" w:eastAsia="zh-CN"/>
              </w:rPr>
              <w:t>IC / FPD</w:t>
            </w:r>
          </w:p>
        </w:tc>
      </w:tr>
    </w:tbl>
    <w:p>
      <w:pPr>
        <w:pStyle w:val="style0"/>
        <w:numPr>
          <w:ilvl w:val="0"/>
          <w:numId w:val="0"/>
        </w:numPr>
        <w:jc w:val="left"/>
        <w:rPr>
          <w:rFonts w:hint="default"/>
          <w:b w:val="false"/>
          <w:bCs w:val="false"/>
          <w:sz w:val="28"/>
          <w:szCs w:val="36"/>
          <w:u w:val="none"/>
          <w:lang w:val="en-US" w:eastAsia="zh-CN"/>
        </w:rPr>
      </w:pPr>
    </w:p>
    <w:p>
      <w:pPr>
        <w:pStyle w:val="style0"/>
        <w:numPr>
          <w:ilvl w:val="0"/>
          <w:numId w:val="1"/>
        </w:numPr>
        <w:jc w:val="left"/>
        <w:rPr>
          <w:rFonts w:hint="default"/>
          <w:b w:val="false"/>
          <w:bCs w:val="false"/>
          <w:sz w:val="28"/>
          <w:szCs w:val="36"/>
          <w:u w:val="none"/>
          <w:lang w:val="en-US" w:eastAsia="zh-CN"/>
        </w:rPr>
      </w:pPr>
      <w:r>
        <w:rPr>
          <w:rFonts w:hint="eastAsia"/>
          <w:b w:val="false"/>
          <w:bCs w:val="false"/>
          <w:sz w:val="28"/>
          <w:szCs w:val="36"/>
          <w:u w:val="none"/>
          <w:lang w:val="en-US" w:eastAsia="zh-CN"/>
        </w:rPr>
        <w:t>在本课程所讲授的微电子工艺范畴内，选择你感兴趣单项工艺，详细论述相关国内企业技术现状，并对其发展趋势进行预测。（40分）</w:t>
      </w:r>
    </w:p>
    <w:p>
      <w:pPr>
        <w:pStyle w:val="style0"/>
        <w:numPr>
          <w:ilvl w:val="0"/>
          <w:numId w:val="0"/>
        </w:numPr>
        <w:jc w:val="left"/>
        <w:rPr>
          <w:rFonts w:hint="eastAsia"/>
          <w:b w:val="false"/>
          <w:bCs w:val="false"/>
          <w:sz w:val="21"/>
          <w:szCs w:val="21"/>
          <w:u w:val="none"/>
          <w:lang w:val="en-US" w:eastAsia="zh-CN"/>
        </w:rPr>
      </w:pPr>
      <w:r>
        <w:rPr>
          <w:rFonts w:hint="eastAsia"/>
          <w:b w:val="false"/>
          <w:bCs w:val="false"/>
          <w:sz w:val="28"/>
          <w:szCs w:val="36"/>
          <w:u w:val="none"/>
          <w:lang w:val="en-US" w:eastAsia="zh-CN"/>
        </w:rPr>
        <w:t>答：（宋体五号，段落1.25倍间距，字数800字以内，可配图表）</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default"/>
          <w:b w:val="false"/>
          <w:bCs w:val="false"/>
          <w:sz w:val="21"/>
          <w:szCs w:val="21"/>
          <w:u w:val="none"/>
          <w:lang w:val="en-US" w:eastAsia="zh-CN"/>
        </w:rPr>
      </w:pPr>
      <w:r>
        <w:rPr>
          <w:rFonts w:hint="eastAsia"/>
          <w:b w:val="false"/>
          <w:bCs w:val="false"/>
          <w:sz w:val="21"/>
          <w:szCs w:val="21"/>
          <w:u w:val="none"/>
          <w:lang w:val="en-US" w:eastAsia="zh-CN"/>
        </w:rPr>
        <w:t>光刻工艺是微电子器件制造中的关键步骤。国内企业在光刻工艺领域取得了显著的技术进步。以光刻机来源分类，国内企业大致可以分为两大类，一个是以中芯国际为代表的，采购光刻机并加以应用的的企业；一类是以上海微电子装备为代表的，自行研发光刻机的企业。这里选取中芯国际与上海微电子装备两家公司分析技术现状。</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中芯国际是中国大陆最大的半导体制造企业之一。这里有世界先进的光刻机设备，如ASML的DUV光刻机，实际上，中芯国际大部分收入来自传统产能工艺。中芯国际的传统产能在去年实现量价齐升。由此来看，DUV帮助扩产传统产能，对中芯国际是一项利好。而另一方面，DUV设备却无法很好地推进公司先进工艺的研发，因为若一项先进工艺只有DUV设备支持，则无法做出良率及格的芯片，也无法达到国际大厂的性能水平。</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其实早在2018年初，ASML与中芯国际正式达成了首台最先进的EUV光刻机的采购订单，价值约1.2亿美元，原本预计将于2019年底交付，但是却因荷兰政府没有向ASML发放新的出口许可证，导致迟迟无法交付。时至今日，中芯国际都没有拿到EUV光刻机。中芯国际的CEO梁孟松博士表示，在当前的环境下，N＋1、N＋2代工艺都不会用EUV工艺，等到设备就绪之后，N＋2之后的工艺才会转向EUV光刻工艺。这也意味着后续的第一代的7nm工艺，中芯国际无需EUV光刻机也能实现量产。但是N+2之后的先进制程则必须依赖于EUV光刻机才能实现。</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default"/>
          <w:b w:val="false"/>
          <w:bCs w:val="false"/>
          <w:sz w:val="21"/>
          <w:szCs w:val="21"/>
          <w:u w:val="none"/>
          <w:lang w:val="en-US" w:eastAsia="zh-CN"/>
        </w:rPr>
      </w:pPr>
      <w:r>
        <w:rPr>
          <w:rFonts w:hint="eastAsia"/>
          <w:b w:val="false"/>
          <w:bCs w:val="false"/>
          <w:sz w:val="21"/>
          <w:szCs w:val="21"/>
          <w:u w:val="none"/>
          <w:lang w:val="en-US" w:eastAsia="zh-CN"/>
        </w:rPr>
        <w:t>上海微电子作为国内光刻设备的龙头企业，由于起步较晚且技术积累薄弱，目前最先进的光刻设备也只能提供最高 90mn 的工艺技术。单从指标上看，基本也和 ASML 的低端产品 PAS5500 系列属于同一档次。如下是上海微电子装备的国产光刻机，信息来源为上海微电子官网。</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center"/>
        <w:textAlignment w:val="auto"/>
        <w:rPr>
          <w:rFonts w:hint="default"/>
          <w:b w:val="false"/>
          <w:bCs w:val="false"/>
          <w:sz w:val="21"/>
          <w:szCs w:val="21"/>
          <w:u w:val="none"/>
          <w:lang w:val="en-US" w:eastAsia="zh-CN"/>
        </w:rPr>
      </w:pPr>
      <w:r>
        <w:rPr>
          <w:rFonts w:hint="eastAsia"/>
          <w:b w:val="false"/>
          <w:bCs w:val="false"/>
          <w:sz w:val="21"/>
          <w:szCs w:val="21"/>
          <w:u w:val="none"/>
          <w:lang w:val="en-US" w:eastAsia="zh-CN"/>
        </w:rPr>
        <w:t>表5  上海微电子600系列光刻机</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130"/>
        <w:gridCol w:w="2130"/>
        <w:gridCol w:w="2131"/>
        <w:gridCol w:w="2131"/>
      </w:tblGrid>
      <w:tr>
        <w:trPr/>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eastAsia"/>
                <w:b w:val="false"/>
                <w:bCs w:val="false"/>
                <w:sz w:val="21"/>
                <w:szCs w:val="21"/>
                <w:u w:val="none"/>
                <w:vertAlign w:val="baseli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型号</w:t>
            </w:r>
          </w:p>
        </w:tc>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SSA600/20</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ascii="宋体" w:cs="宋体" w:eastAsia="宋体" w:hAnsi="宋体"/>
                <w:sz w:val="24"/>
                <w:szCs w:val="24"/>
              </w:rPr>
              <w:drawing>
                <wp:inline distL="0" distT="0" distB="0" distR="0">
                  <wp:extent cx="918210" cy="662305"/>
                  <wp:effectExtent l="0" t="0" r="11430" b="8255"/>
                  <wp:docPr id="1033" name="图片 9"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9"/>
                          <pic:cNvPicPr/>
                        </pic:nvPicPr>
                        <pic:blipFill>
                          <a:blip r:embed="rId9" cstate="print"/>
                          <a:srcRect l="0" t="0" r="0" b="0"/>
                          <a:stretch/>
                        </pic:blipFill>
                        <pic:spPr>
                          <a:xfrm rot="0">
                            <a:off x="0" y="0"/>
                            <a:ext cx="918210" cy="662305"/>
                          </a:xfrm>
                          <a:prstGeom prst="rect"/>
                          <a:ln>
                            <a:noFill/>
                          </a:ln>
                        </pic:spPr>
                      </pic:pic>
                    </a:graphicData>
                  </a:graphic>
                </wp:inline>
              </w:drawing>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SSC600/10</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ascii="宋体" w:cs="宋体" w:eastAsia="宋体" w:hAnsi="宋体"/>
                <w:sz w:val="24"/>
                <w:szCs w:val="24"/>
              </w:rPr>
              <w:drawing>
                <wp:inline distL="0" distT="0" distB="0" distR="0">
                  <wp:extent cx="937260" cy="675640"/>
                  <wp:effectExtent l="0" t="0" r="7620" b="10160"/>
                  <wp:docPr id="1034" name="图片 1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1"/>
                          <pic:cNvPicPr/>
                        </pic:nvPicPr>
                        <pic:blipFill>
                          <a:blip r:embed="rId10" cstate="print"/>
                          <a:srcRect l="0" t="0" r="0" b="0"/>
                          <a:stretch/>
                        </pic:blipFill>
                        <pic:spPr>
                          <a:xfrm rot="0">
                            <a:off x="0" y="0"/>
                            <a:ext cx="937260" cy="675640"/>
                          </a:xfrm>
                          <a:prstGeom prst="rect"/>
                          <a:ln>
                            <a:noFill/>
                          </a:ln>
                        </pic:spPr>
                      </pic:pic>
                    </a:graphicData>
                  </a:graphic>
                </wp:inline>
              </w:drawing>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SSB600/10</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ascii="宋体" w:cs="宋体" w:eastAsia="宋体" w:hAnsi="宋体"/>
                <w:sz w:val="24"/>
                <w:szCs w:val="24"/>
              </w:rPr>
              <w:drawing>
                <wp:inline distL="0" distT="0" distB="0" distR="0">
                  <wp:extent cx="1006475" cy="725805"/>
                  <wp:effectExtent l="0" t="0" r="14605" b="5715"/>
                  <wp:docPr id="1035" name="图片 1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3"/>
                          <pic:cNvPicPr/>
                        </pic:nvPicPr>
                        <pic:blipFill>
                          <a:blip r:embed="rId11" cstate="print"/>
                          <a:srcRect l="0" t="0" r="0" b="0"/>
                          <a:stretch/>
                        </pic:blipFill>
                        <pic:spPr>
                          <a:xfrm rot="0">
                            <a:off x="0" y="0"/>
                            <a:ext cx="1006475" cy="725805"/>
                          </a:xfrm>
                          <a:prstGeom prst="rect"/>
                          <a:ln>
                            <a:noFill/>
                          </a:ln>
                        </pic:spPr>
                      </pic:pic>
                    </a:graphicData>
                  </a:graphic>
                </wp:inline>
              </w:drawing>
            </w:r>
          </w:p>
        </w:tc>
      </w:tr>
      <w:tr>
        <w:tblPrEx/>
        <w:trPr/>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分辨率</w:t>
            </w:r>
          </w:p>
        </w:tc>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90nm</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110nm</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280nm</w:t>
            </w:r>
          </w:p>
        </w:tc>
      </w:tr>
      <w:tr>
        <w:tblPrEx/>
        <w:trPr/>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曝光光源</w:t>
            </w:r>
          </w:p>
        </w:tc>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default"/>
                <w:b w:val="false"/>
                <w:bCs w:val="false"/>
                <w:sz w:val="21"/>
                <w:szCs w:val="21"/>
                <w:u w:val="none"/>
                <w:vertAlign w:val="baseline"/>
                <w:lang w:val="en-US" w:eastAsia="zh-CN"/>
              </w:rPr>
              <w:t>ArF excimer laser</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default"/>
                <w:b w:val="false"/>
                <w:bCs w:val="false"/>
                <w:sz w:val="21"/>
                <w:szCs w:val="21"/>
                <w:u w:val="none"/>
                <w:vertAlign w:val="baseline"/>
                <w:lang w:val="en-US" w:eastAsia="zh-CN"/>
              </w:rPr>
              <w:t>KrF excimer laser</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default"/>
                <w:b w:val="false"/>
                <w:bCs w:val="false"/>
                <w:sz w:val="21"/>
                <w:szCs w:val="21"/>
                <w:u w:val="none"/>
                <w:vertAlign w:val="baseline"/>
                <w:lang w:val="en-US" w:eastAsia="zh-CN"/>
              </w:rPr>
              <w:t>i-line mercury lamp</w:t>
            </w:r>
          </w:p>
        </w:tc>
      </w:tr>
      <w:tr>
        <w:tblPrEx/>
        <w:trPr/>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镜头倍率</w:t>
            </w:r>
          </w:p>
        </w:tc>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1:4</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1:4</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1:4</w:t>
            </w:r>
          </w:p>
        </w:tc>
      </w:tr>
      <w:tr>
        <w:tblPrEx/>
        <w:trPr/>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硅片尺寸</w:t>
            </w:r>
          </w:p>
        </w:tc>
        <w:tc>
          <w:tcPr>
            <w:tcW w:w="2130"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200mm或300mm</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eastAsia"/>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200mm或300mm</w:t>
            </w:r>
          </w:p>
        </w:tc>
        <w:tc>
          <w:tcPr>
            <w:tcW w:w="2131" w:type="dxa"/>
            <w:tcBorders/>
          </w:tcPr>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left="0" w:leftChars="0" w:firstLine="0" w:firstLineChars="0"/>
              <w:jc w:val="center"/>
              <w:textAlignment w:val="auto"/>
              <w:rPr>
                <w:rFonts w:hint="default"/>
                <w:b w:val="false"/>
                <w:bCs w:val="false"/>
                <w:sz w:val="21"/>
                <w:szCs w:val="21"/>
                <w:u w:val="none"/>
                <w:vertAlign w:val="baseline"/>
                <w:lang w:val="en-US" w:eastAsia="zh-CN"/>
              </w:rPr>
            </w:pPr>
            <w:r>
              <w:rPr>
                <w:rFonts w:hint="eastAsia"/>
                <w:b w:val="false"/>
                <w:bCs w:val="false"/>
                <w:sz w:val="21"/>
                <w:szCs w:val="21"/>
                <w:u w:val="none"/>
                <w:vertAlign w:val="baseline"/>
                <w:lang w:val="en-US" w:eastAsia="zh-CN"/>
              </w:rPr>
              <w:t>200mm或300mm</w:t>
            </w:r>
          </w:p>
        </w:tc>
      </w:tr>
    </w:tbl>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jc w:val="both"/>
        <w:textAlignment w:val="auto"/>
        <w:rPr>
          <w:rFonts w:hint="eastAsia"/>
          <w:b w:val="false"/>
          <w:bCs w:val="false"/>
          <w:sz w:val="21"/>
          <w:szCs w:val="21"/>
          <w:u w:val="none"/>
          <w:lang w:val="en-US" w:eastAsia="zh-CN"/>
        </w:rPr>
      </w:pP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由此可见，这两大类的公司在当下或不远的未来均面临较为严峻的考验，用一句话来总结上文就是：国产的性能不够好，高性能的别人不卖。</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eastAsia"/>
          <w:b w:val="false"/>
          <w:bCs w:val="false"/>
          <w:sz w:val="21"/>
          <w:szCs w:val="21"/>
          <w:u w:val="none"/>
          <w:lang w:val="en-US" w:eastAsia="zh-CN"/>
        </w:rPr>
      </w:pPr>
      <w:r>
        <w:rPr>
          <w:rFonts w:hint="eastAsia"/>
          <w:b w:val="false"/>
          <w:bCs w:val="false"/>
          <w:sz w:val="21"/>
          <w:szCs w:val="21"/>
          <w:u w:val="none"/>
          <w:lang w:val="en-US" w:eastAsia="zh-CN"/>
        </w:rPr>
        <w:t>“国产28nm光刻机将于2020年底交付”、“国产28nm光刻机将于2021年底交付”、“国产28nm光刻机将于2022年底交付”……其实我在调研资料的时候，总能搜到这样的假新闻。仅仅作为一名集成电路专业的学生，我其实并不清楚行业现状，调研时查到的消息错综复杂。上海微电子官网上没有28nm光刻机的影子，说实话，我现在其实也不清楚国产28nm光刻机到底有没有交付。</w:t>
      </w:r>
    </w:p>
    <w:p>
      <w:pPr>
        <w:pStyle w:val="style0"/>
        <w:keepNext w:val="false"/>
        <w:keepLines w:val="false"/>
        <w:pageBreakBefore w:val="false"/>
        <w:widowControl w:val="false"/>
        <w:numPr>
          <w:ilvl w:val="0"/>
          <w:numId w:val="0"/>
        </w:numPr>
        <w:kinsoku/>
        <w:wordWrap/>
        <w:overflowPunct/>
        <w:topLinePunct w:val="false"/>
        <w:autoSpaceDE/>
        <w:autoSpaceDN/>
        <w:bidi w:val="false"/>
        <w:adjustRightInd/>
        <w:snapToGrid/>
        <w:spacing w:lineRule="auto" w:line="300"/>
        <w:ind w:firstLine="420" w:firstLineChars="200"/>
        <w:jc w:val="both"/>
        <w:textAlignment w:val="auto"/>
        <w:rPr>
          <w:rFonts w:hint="default"/>
          <w:b w:val="false"/>
          <w:bCs w:val="false"/>
          <w:sz w:val="21"/>
          <w:szCs w:val="21"/>
          <w:u w:val="none"/>
          <w:lang w:val="en-US" w:eastAsia="zh-CN"/>
        </w:rPr>
      </w:pPr>
      <w:r>
        <w:rPr>
          <w:rFonts w:hint="eastAsia"/>
          <w:b w:val="false"/>
          <w:bCs w:val="false"/>
          <w:sz w:val="21"/>
          <w:szCs w:val="21"/>
          <w:u w:val="none"/>
          <w:lang w:val="en-US" w:eastAsia="zh-CN"/>
        </w:rPr>
        <w:t>但是我不想仅仅做一名学生。我能从每年一次的“国产28nm光刻机”里看到每个国人对国产光刻机的渴望。“筚路蓝缕，以启山林”，每个半导体人都在尽己所能推进祖国的半导体事业。因此，我在这里大胆预测，未来的五年至十年内，光刻技术会迎来突破，或引入EUV实现应用突破，或交付国产光刻机实现技术突破。但如若不能，我将尽自己所学，投身光刻行业。</w:t>
      </w:r>
    </w:p>
    <w:p>
      <w:pPr>
        <w:pStyle w:val="style0"/>
        <w:numPr>
          <w:ilvl w:val="0"/>
          <w:numId w:val="0"/>
        </w:numPr>
        <w:jc w:val="left"/>
        <w:rPr>
          <w:rFonts w:hint="default"/>
          <w:b w:val="false"/>
          <w:bCs w:val="false"/>
          <w:sz w:val="28"/>
          <w:szCs w:val="36"/>
          <w:u w:val="none"/>
          <w:lang w:val="en-US" w:eastAsia="zh-CN"/>
        </w:rPr>
      </w:pPr>
    </w:p>
    <w:sectPr>
      <w:footerReference w:type="default" r:id="rId12"/>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微软雅黑">
    <w:altName w:val="微软雅黑"/>
    <w:panose1 w:val="020b0503020002020204"/>
    <w:charset w:val="86"/>
    <w:family w:val="auto"/>
    <w:pitch w:val="default"/>
    <w:sig w:usb0="80000287" w:usb1="2ACF3C50" w:usb2="00000016" w:usb3="00000000" w:csb0="0004001F" w:csb1="00000000"/>
  </w:font>
  <w:font w:name="Cambria Math">
    <w:altName w:val="Cambria Math"/>
    <w:panose1 w:val="02040503050004030204"/>
    <w:charset w:val="00"/>
    <w:family w:val="auto"/>
    <w:pitch w:val="default"/>
    <w:sig w:usb0="E00006FF" w:usb1="420024FF" w:usb2="02000000" w:usb3="00000000" w:csb0="2000019F" w:csb1="00000000"/>
  </w:font>
  <w:font w:name="AlibabaPuHuiTi-2-55-Regular">
    <w:altName w:val="AMGDT"/>
    <w:panose1 w:val="00000000000000000000"/>
    <w:charset w:val="00"/>
    <w:family w:val="auto"/>
    <w:pitch w:val="default"/>
    <w:sig w:usb0="00000000" w:usb1="00000000" w:usb2="00000000" w:usb3="00000000" w:csb0="00000000" w:csb1="00000000"/>
  </w:font>
  <w:font w:name="AMGDT">
    <w:altName w:val="AMGDT"/>
    <w:panose1 w:val="02000400000000000000"/>
    <w:charset w:val="00"/>
    <w:family w:val="auto"/>
    <w:pitch w:val="default"/>
    <w:sig w:usb0="80000003" w:usb1="10000000" w:usb2="00000000" w:usb3="00000000" w:csb0="00000001" w:csb1="00000000"/>
  </w:font>
  <w:font w:name="Verdana">
    <w:altName w:val="Verdana"/>
    <w:panose1 w:val="020b0604030005040204"/>
    <w:charset w:val="00"/>
    <w:family w:val="auto"/>
    <w:pitch w:val="default"/>
    <w:sig w:usb0="A00006FF" w:usb1="4000205B" w:usb2="00000010" w:usb3="00000000" w:csb0="2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sz w:val="18"/>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4097" name="文本框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upright="false">
                      <a:prstTxWarp prst="textNoShape"/>
                      <a:spAutoFit/>
                    </wps:bodyPr>
                  </wps:wsp>
                </a:graphicData>
              </a:graphic>
            </wp:anchor>
          </w:drawing>
        </mc:Choice>
        <mc:Fallback>
          <w:pict>
            <v:rect id="4097" filled="f" stroked="f" style="position:absolute;margin-left:0.0pt;margin-top:0.0pt;width:144.0pt;height:144.0pt;z-index:2;mso-position-horizontal:center;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481E913"/>
    <w:lvl w:ilvl="0">
      <w:start w:val="1"/>
      <w:numFmt w:val="chineseCounting"/>
      <w:suff w:val="nothing"/>
      <w:lvlText w:val="%1、"/>
      <w:lvlJc w:val="left"/>
      <w:pPr/>
      <w:rPr>
        <w:rFonts w:hint="eastAsia"/>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32">
    <w:name w:val="footer"/>
    <w:basedOn w:val="style0"/>
    <w:next w:val="style32"/>
    <w:qFormat/>
    <w:uiPriority w:val="0"/>
    <w:pPr>
      <w:tabs>
        <w:tab w:val="center" w:leader="none" w:pos="4153"/>
        <w:tab w:val="right" w:leader="none" w:pos="8306"/>
      </w:tabs>
      <w:snapToGrid w:val="false"/>
      <w:jc w:val="left"/>
    </w:pPr>
    <w:rPr>
      <w:sz w:val="18"/>
    </w:rPr>
  </w:style>
  <w:style w:type="paragraph" w:styleId="style31">
    <w:name w:val="header"/>
    <w:basedOn w:val="style0"/>
    <w:next w:val="style31"/>
    <w:qFormat/>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 w:type="paragraph" w:styleId="style94">
    <w:name w:val="Normal (Web)"/>
    <w:basedOn w:val="style0"/>
    <w:next w:val="style94"/>
    <w:qFormat/>
    <w:uiPriority w:val="0"/>
    <w:pPr>
      <w:spacing w:before="0" w:beforeAutospacing="true" w:after="0" w:afterAutospacing="true"/>
      <w:ind w:left="0" w:right="0"/>
      <w:jc w:val="left"/>
    </w:pPr>
    <w:rPr>
      <w:kern w:val="0"/>
      <w:sz w:val="24"/>
      <w:lang w:val="en-US" w:eastAsia="zh-CN"/>
    </w:rPr>
  </w:style>
  <w:style w:type="table" w:styleId="style154">
    <w:name w:val="Table Grid"/>
    <w:basedOn w:val="style105"/>
    <w:next w:val="style154"/>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0"/>
    <w:rPr>
      <w:b/>
    </w:rPr>
  </w:style>
</w:styles>
</file>

<file path=word/_rels/document.xml.rels><?xml version="1.0" encoding="UTF-8"?>
<Relationships xmlns="http://schemas.openxmlformats.org/package/2006/relationships"><Relationship Id="rId11" Type="http://schemas.openxmlformats.org/officeDocument/2006/relationships/image" Target="media/image4.jpeg"/><Relationship Id="rId10" Type="http://schemas.openxmlformats.org/officeDocument/2006/relationships/image" Target="media/image3.jpeg"/><Relationship Id="rId13" Type="http://schemas.openxmlformats.org/officeDocument/2006/relationships/styles" Target="styles.xml"/><Relationship Id="rId12"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2.jpe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Words>3382</Words>
  <Pages>8</Pages>
  <Characters>4047</Characters>
  <Application>WPS Office</Application>
  <DocSecurity>0</DocSecurity>
  <Paragraphs>546</Paragraphs>
  <ScaleCrop>false</ScaleCrop>
  <LinksUpToDate>false</LinksUpToDate>
  <CharactersWithSpaces>4163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2022-08-19T12:52:00Z</dcterms:created>
  <dc:creator>xxc</dc:creator>
  <lastModifiedBy>V2055A</lastModifiedBy>
  <dcterms:modified xsi:type="dcterms:W3CDTF">2023-10-29T06:09:31Z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38B0378982F94BF4BFDD9D59933F6964_13</vt:lpwstr>
  </property>
</Properties>
</file>