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CDBC(BC) DAABC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CBDCC   CCCBD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区和固定分区分配方式相比，内存空间的利用率更高一些。但是，总会存在一些分散的小空闲分区，即分部碎片，他们存在于已分配的分区之间，不能充分利用。可以采用拼接技术加以解决。固定分区分配方式存在内部碎片，而无外部碎片。动态分区分配方式存在外部碎片，无内部碎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虚存的大小要同时满足两个条件：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①虚存的大小≤内存容量和外存容量之和，这是硬件的硬性条件规定的，若虚存大小超过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了这个容量，则没有相应的空间来供虚存使用。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②虚存的大小≤计算机的地址位数能容纳的最大容量。设地址是32位的，按字节编址，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一个地址代表 1B存储空间，则虚存的大小≤4GB(232B).这是因为若虚存的大小超过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4GB,则32位的地址将无法访问全部虚存，也就是说4GB以后的空间被浪费了，相当于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没有一样，没有任何意义。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页面大小为1KB,所以低10位为页内偏移地址；用户编程空间为32个页面，即逻辑地址高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5位为虚页号；主存为16个页面，即物理地址高4位为物理块号。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逻辑地址0AC5H转换为二进制是000 1010 1100 0101B,虚页号为2(00010B),映射至物理块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号4,故系统访问物理地址 12C5H(01 0010 1100 0101B)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逻辑地址1AC5H转换为二进制是001 1010 11000101B,虚页号为6(00110B),不在页面映射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表中，会产生缺页中断，系统进行缺页中断处理。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逻辑地址3AC5H转换为二进制是 011 1010 1100 0101B,页号为14,而该用户程序只有10页，故系统产生越界中断。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根据页面走向，使用最佳置换算法时，页面置换情况见下表。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走向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缺页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缺页率为7/12。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根据页面走向，使用最佳置换算法时，页面置换情况见下表。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走向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缺页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缺页率为9/12。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根据页面走向，使用最近最久未使用页面淘汰算法时，页面置换情况见下表。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走向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块1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块3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缺页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缺页率为10/12。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4D704"/>
    <w:multiLevelType w:val="singleLevel"/>
    <w:tmpl w:val="9234D70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55D55"/>
    <w:rsid w:val="600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2021-06-05T16:01:00Z</dcterms:created>
  <dc:creator>KLKST</dc:creator>
  <cp:lastModifiedBy>只要分数的Boy</cp:lastModifiedBy>
  <dcterms:modified xsi:type="dcterms:W3CDTF">2021-06-06T07:19:06Z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F7C4A0BA18874552A89EFB688F1E85D0</vt:lpwstr>
  </property>
</Properties>
</file>