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17D64" w14:textId="3765F145" w:rsidR="00D16045" w:rsidRPr="00D16045" w:rsidRDefault="00D16045" w:rsidP="00D16045">
      <w:pPr>
        <w:pStyle w:val="Nzev"/>
        <w:rPr>
          <w:lang w:val="en-GB"/>
        </w:rPr>
      </w:pPr>
      <w:r w:rsidRPr="00D16045">
        <w:rPr>
          <w:lang w:val="en-GB"/>
        </w:rPr>
        <w:t xml:space="preserve">Methodology for Transferring NLKF KPIs into the NAP Reference Architecture </w:t>
      </w:r>
    </w:p>
    <w:p w14:paraId="569F2B69" w14:textId="195DD1C1" w:rsidR="00D16045" w:rsidRPr="00D16045" w:rsidRDefault="00D16045" w:rsidP="00D16045">
      <w:pPr>
        <w:rPr>
          <w:lang w:val="en-GB"/>
        </w:rPr>
      </w:pPr>
      <w:r w:rsidRPr="00D16045">
        <w:rPr>
          <w:b/>
          <w:bCs/>
          <w:lang w:val="en-GB"/>
        </w:rPr>
        <w:t>Purpose</w:t>
      </w:r>
      <w:r>
        <w:rPr>
          <w:b/>
          <w:bCs/>
          <w:lang w:val="en-GB"/>
        </w:rPr>
        <w:t xml:space="preserve">: </w:t>
      </w:r>
      <w:r w:rsidRPr="00D16045">
        <w:rPr>
          <w:lang w:val="en-GB"/>
        </w:rPr>
        <w:t>This document outlines how Key Performance Indicators (KPIs) from the NAP Level of Service KPI Framework (NLKF) are transferred, modelled, and maintained within the Enterprise Architect (EA) model of the NAP Reference Architecture (NRA).</w:t>
      </w:r>
    </w:p>
    <w:p w14:paraId="4C5F253F" w14:textId="4631DC19" w:rsidR="00D16045" w:rsidRDefault="00D16045" w:rsidP="00D16045">
      <w:pPr>
        <w:rPr>
          <w:lang w:val="en-GB"/>
        </w:rPr>
      </w:pPr>
      <w:bookmarkStart w:id="0" w:name="_Hlk200652656"/>
      <w:r w:rsidRPr="00D16045">
        <w:rPr>
          <w:b/>
          <w:bCs/>
          <w:lang w:val="en-GB"/>
        </w:rPr>
        <w:t>Audience</w:t>
      </w:r>
      <w:r>
        <w:rPr>
          <w:b/>
          <w:bCs/>
          <w:lang w:val="en-GB"/>
        </w:rPr>
        <w:t xml:space="preserve">: </w:t>
      </w:r>
      <w:r w:rsidRPr="00D16045">
        <w:rPr>
          <w:lang w:val="en-GB"/>
        </w:rPr>
        <w:t>NRA maintenance team.</w:t>
      </w:r>
    </w:p>
    <w:tbl>
      <w:tblPr>
        <w:tblStyle w:val="Mkatabulky"/>
        <w:tblW w:w="0" w:type="auto"/>
        <w:tblLook w:val="04A0" w:firstRow="1" w:lastRow="0" w:firstColumn="1" w:lastColumn="0" w:noHBand="0" w:noVBand="1"/>
      </w:tblPr>
      <w:tblGrid>
        <w:gridCol w:w="1555"/>
        <w:gridCol w:w="2126"/>
        <w:gridCol w:w="5381"/>
      </w:tblGrid>
      <w:tr w:rsidR="008C7A5C" w:rsidRPr="008C7A5C" w14:paraId="7328A50A" w14:textId="77777777" w:rsidTr="00FB196C">
        <w:tc>
          <w:tcPr>
            <w:tcW w:w="1555" w:type="dxa"/>
          </w:tcPr>
          <w:p w14:paraId="51D718F5" w14:textId="77777777" w:rsidR="008C7A5C" w:rsidRPr="008C7A5C" w:rsidRDefault="008C7A5C" w:rsidP="00FB196C">
            <w:pPr>
              <w:rPr>
                <w:lang w:val="en-GB"/>
              </w:rPr>
            </w:pPr>
            <w:r w:rsidRPr="008C7A5C">
              <w:rPr>
                <w:lang w:val="en-GB"/>
              </w:rPr>
              <w:t>Version</w:t>
            </w:r>
          </w:p>
        </w:tc>
        <w:tc>
          <w:tcPr>
            <w:tcW w:w="2126" w:type="dxa"/>
          </w:tcPr>
          <w:p w14:paraId="43E5403A" w14:textId="77777777" w:rsidR="008C7A5C" w:rsidRPr="008C7A5C" w:rsidRDefault="008C7A5C" w:rsidP="00FB196C">
            <w:pPr>
              <w:rPr>
                <w:lang w:val="en-GB"/>
              </w:rPr>
            </w:pPr>
            <w:r w:rsidRPr="008C7A5C">
              <w:rPr>
                <w:lang w:val="en-GB"/>
              </w:rPr>
              <w:t>Author</w:t>
            </w:r>
          </w:p>
        </w:tc>
        <w:tc>
          <w:tcPr>
            <w:tcW w:w="5381" w:type="dxa"/>
          </w:tcPr>
          <w:p w14:paraId="4CDDC703" w14:textId="77777777" w:rsidR="008C7A5C" w:rsidRPr="008C7A5C" w:rsidRDefault="008C7A5C" w:rsidP="00FB196C">
            <w:pPr>
              <w:rPr>
                <w:lang w:val="en-GB"/>
              </w:rPr>
            </w:pPr>
            <w:r w:rsidRPr="008C7A5C">
              <w:rPr>
                <w:lang w:val="en-GB"/>
              </w:rPr>
              <w:t>Note</w:t>
            </w:r>
          </w:p>
        </w:tc>
      </w:tr>
      <w:tr w:rsidR="008C7A5C" w:rsidRPr="008C7A5C" w14:paraId="34959D57" w14:textId="77777777" w:rsidTr="00FB196C">
        <w:tc>
          <w:tcPr>
            <w:tcW w:w="1555" w:type="dxa"/>
          </w:tcPr>
          <w:p w14:paraId="7950607F" w14:textId="77777777" w:rsidR="008C7A5C" w:rsidRPr="008C7A5C" w:rsidRDefault="008C7A5C" w:rsidP="00FB196C">
            <w:pPr>
              <w:rPr>
                <w:lang w:val="en-GB"/>
              </w:rPr>
            </w:pPr>
            <w:r w:rsidRPr="008C7A5C">
              <w:rPr>
                <w:lang w:val="en-GB"/>
              </w:rPr>
              <w:t>1.0</w:t>
            </w:r>
          </w:p>
        </w:tc>
        <w:tc>
          <w:tcPr>
            <w:tcW w:w="2126" w:type="dxa"/>
          </w:tcPr>
          <w:p w14:paraId="1B92EFAF" w14:textId="6DD37AFE" w:rsidR="008C7A5C" w:rsidRPr="008C7A5C" w:rsidRDefault="008C7A5C" w:rsidP="00FB196C">
            <w:pPr>
              <w:rPr>
                <w:lang w:val="en-GB"/>
              </w:rPr>
            </w:pPr>
            <w:r w:rsidRPr="008C7A5C">
              <w:rPr>
                <w:lang w:val="en-GB"/>
              </w:rPr>
              <w:t>Petr Bureš</w:t>
            </w:r>
            <w:r>
              <w:rPr>
                <w:lang w:val="en-GB"/>
              </w:rPr>
              <w:t>, Benjamin Witsch</w:t>
            </w:r>
          </w:p>
        </w:tc>
        <w:tc>
          <w:tcPr>
            <w:tcW w:w="5381" w:type="dxa"/>
          </w:tcPr>
          <w:p w14:paraId="6F01D6AD" w14:textId="283C5300" w:rsidR="008C7A5C" w:rsidRPr="008C7A5C" w:rsidRDefault="008C7A5C" w:rsidP="00FB196C">
            <w:pPr>
              <w:rPr>
                <w:lang w:val="en-GB"/>
              </w:rPr>
            </w:pPr>
            <w:r w:rsidRPr="008C7A5C">
              <w:rPr>
                <w:lang w:val="en-GB"/>
              </w:rPr>
              <w:t xml:space="preserve">Revised, </w:t>
            </w:r>
            <w:r>
              <w:rPr>
                <w:lang w:val="en-GB"/>
              </w:rPr>
              <w:t>connection to NRA objects via Requirements and updated folder structure.</w:t>
            </w:r>
          </w:p>
        </w:tc>
      </w:tr>
    </w:tbl>
    <w:p w14:paraId="3329099B" w14:textId="54E02A61" w:rsidR="00A24688" w:rsidRPr="008A6F52" w:rsidRDefault="00A24688" w:rsidP="00A24688">
      <w:pPr>
        <w:pStyle w:val="Nadpis1"/>
        <w:rPr>
          <w:lang w:val="en-GB"/>
        </w:rPr>
      </w:pPr>
      <w:r w:rsidRPr="008A6F52">
        <w:rPr>
          <w:lang w:val="en-GB"/>
        </w:rPr>
        <w:t>Scope</w:t>
      </w:r>
    </w:p>
    <w:p w14:paraId="48625F71" w14:textId="77777777" w:rsidR="00A24688" w:rsidRPr="008A6F52" w:rsidRDefault="00A24688" w:rsidP="00A24688">
      <w:pPr>
        <w:spacing w:before="0" w:after="160" w:line="278" w:lineRule="auto"/>
        <w:rPr>
          <w:lang w:val="en-GB"/>
        </w:rPr>
      </w:pPr>
      <w:r w:rsidRPr="008A6F52">
        <w:rPr>
          <w:lang w:val="en-GB"/>
        </w:rPr>
        <w:t>This guideline covers:</w:t>
      </w:r>
    </w:p>
    <w:p w14:paraId="00F44D9E" w14:textId="12892B5C" w:rsidR="00A24688" w:rsidRPr="008A6F52" w:rsidRDefault="00A24688" w:rsidP="00A24688">
      <w:pPr>
        <w:pStyle w:val="Odstavecseseznamem"/>
        <w:numPr>
          <w:ilvl w:val="0"/>
          <w:numId w:val="22"/>
        </w:numPr>
        <w:rPr>
          <w:lang w:val="en-GB"/>
        </w:rPr>
      </w:pPr>
      <w:r>
        <w:rPr>
          <w:lang w:val="en-GB"/>
        </w:rPr>
        <w:t>How NLKF KPI</w:t>
      </w:r>
      <w:r w:rsidRPr="008A6F52">
        <w:rPr>
          <w:lang w:val="en-GB"/>
        </w:rPr>
        <w:t xml:space="preserve"> Specification objects </w:t>
      </w:r>
      <w:r>
        <w:rPr>
          <w:lang w:val="en-GB"/>
        </w:rPr>
        <w:t xml:space="preserve">are </w:t>
      </w:r>
      <w:r w:rsidRPr="008A6F52">
        <w:rPr>
          <w:lang w:val="en-GB"/>
        </w:rPr>
        <w:t>maintained in EA</w:t>
      </w:r>
    </w:p>
    <w:p w14:paraId="37525887" w14:textId="77777777" w:rsidR="00A24688" w:rsidRPr="008A6F52" w:rsidRDefault="00A24688" w:rsidP="00A24688">
      <w:pPr>
        <w:pStyle w:val="Odstavecseseznamem"/>
        <w:numPr>
          <w:ilvl w:val="0"/>
          <w:numId w:val="22"/>
        </w:numPr>
        <w:rPr>
          <w:lang w:val="en-GB"/>
        </w:rPr>
      </w:pPr>
      <w:r w:rsidRPr="008A6F52">
        <w:rPr>
          <w:lang w:val="en-GB"/>
        </w:rPr>
        <w:t>Structure, classification, foldering, and linkage</w:t>
      </w:r>
    </w:p>
    <w:p w14:paraId="6D1AFA60" w14:textId="77777777" w:rsidR="00A24688" w:rsidRPr="008A6F52" w:rsidRDefault="00A24688" w:rsidP="00A24688">
      <w:pPr>
        <w:pStyle w:val="Odstavecseseznamem"/>
        <w:numPr>
          <w:ilvl w:val="0"/>
          <w:numId w:val="22"/>
        </w:numPr>
        <w:rPr>
          <w:lang w:val="en-GB"/>
        </w:rPr>
      </w:pPr>
      <w:r w:rsidRPr="008A6F52">
        <w:rPr>
          <w:lang w:val="en-GB"/>
        </w:rPr>
        <w:t>Excludes:</w:t>
      </w:r>
    </w:p>
    <w:p w14:paraId="3F04172E" w14:textId="7E5DDE41" w:rsidR="00A24688" w:rsidRPr="008A6F52" w:rsidRDefault="00A24688" w:rsidP="00A24688">
      <w:pPr>
        <w:pStyle w:val="Odstavecseseznamem"/>
        <w:numPr>
          <w:ilvl w:val="1"/>
          <w:numId w:val="22"/>
        </w:numPr>
        <w:rPr>
          <w:lang w:val="en-GB"/>
        </w:rPr>
      </w:pPr>
      <w:r>
        <w:rPr>
          <w:lang w:val="en-GB"/>
        </w:rPr>
        <w:t>Other s</w:t>
      </w:r>
      <w:r w:rsidRPr="008A6F52">
        <w:rPr>
          <w:lang w:val="en-GB"/>
        </w:rPr>
        <w:t xml:space="preserve">pecifications </w:t>
      </w:r>
      <w:r>
        <w:rPr>
          <w:lang w:val="en-GB"/>
        </w:rPr>
        <w:t xml:space="preserve">then </w:t>
      </w:r>
      <w:r w:rsidRPr="008A6F52">
        <w:rPr>
          <w:lang w:val="en-GB"/>
        </w:rPr>
        <w:t xml:space="preserve">KPIs (see Guideline </w:t>
      </w:r>
      <w:r>
        <w:rPr>
          <w:lang w:val="en-GB"/>
        </w:rPr>
        <w:t>1</w:t>
      </w:r>
      <w:r w:rsidRPr="008A6F52">
        <w:rPr>
          <w:lang w:val="en-GB"/>
        </w:rPr>
        <w:t>)</w:t>
      </w:r>
    </w:p>
    <w:p w14:paraId="1AFA258B" w14:textId="77777777" w:rsidR="00A24688" w:rsidRPr="008A6F52" w:rsidRDefault="00A24688" w:rsidP="00A24688">
      <w:pPr>
        <w:pStyle w:val="Odstavecseseznamem"/>
        <w:numPr>
          <w:ilvl w:val="1"/>
          <w:numId w:val="22"/>
        </w:numPr>
        <w:rPr>
          <w:lang w:val="en-GB"/>
        </w:rPr>
      </w:pPr>
      <w:r w:rsidRPr="008A6F52">
        <w:rPr>
          <w:lang w:val="en-GB"/>
        </w:rPr>
        <w:t>Requirements derived from Specifications (see Guideline 3)</w:t>
      </w:r>
    </w:p>
    <w:bookmarkEnd w:id="0"/>
    <w:p w14:paraId="097EF335" w14:textId="79308102" w:rsidR="00A24688" w:rsidRPr="008A6F52" w:rsidRDefault="00A24688" w:rsidP="00A24688">
      <w:pPr>
        <w:pStyle w:val="Nadpis1"/>
        <w:rPr>
          <w:lang w:val="en-GB"/>
        </w:rPr>
      </w:pPr>
      <w:r w:rsidRPr="008A6F52">
        <w:rPr>
          <w:lang w:val="en-GB"/>
        </w:rPr>
        <w:t xml:space="preserve">Role of </w:t>
      </w:r>
      <w:r>
        <w:rPr>
          <w:lang w:val="en-GB"/>
        </w:rPr>
        <w:t xml:space="preserve">NKLF KPI </w:t>
      </w:r>
      <w:r w:rsidRPr="008A6F52">
        <w:rPr>
          <w:lang w:val="en-GB"/>
        </w:rPr>
        <w:t>Specifications in the NRA</w:t>
      </w:r>
    </w:p>
    <w:p w14:paraId="4B334922" w14:textId="5D49ECC0" w:rsidR="00A24688" w:rsidRPr="00A24688" w:rsidRDefault="00A24688" w:rsidP="00D15440">
      <w:pPr>
        <w:rPr>
          <w:lang w:val="en-GB"/>
        </w:rPr>
      </w:pPr>
      <w:r w:rsidRPr="00A24688">
        <w:rPr>
          <w:rStyle w:val="Siln"/>
          <w:lang w:val="en-GB"/>
        </w:rPr>
        <w:t xml:space="preserve">NLKF KPIs are </w:t>
      </w:r>
      <w:r w:rsidRPr="00A24688">
        <w:rPr>
          <w:rStyle w:val="Siln"/>
          <w:rFonts w:eastAsiaTheme="majorEastAsia"/>
          <w:lang w:val="en-GB"/>
        </w:rPr>
        <w:t>modelled</w:t>
      </w:r>
      <w:r w:rsidRPr="00A24688">
        <w:rPr>
          <w:rStyle w:val="Siln"/>
          <w:lang w:val="en-GB"/>
        </w:rPr>
        <w:t xml:space="preserve"> as Specification objects in the NRA.</w:t>
      </w:r>
      <w:r w:rsidRPr="00A24688">
        <w:rPr>
          <w:lang w:val="en-GB"/>
        </w:rPr>
        <w:t xml:space="preserve"> They represent performance expectations defined by the </w:t>
      </w:r>
      <w:r w:rsidRPr="00A24688">
        <w:rPr>
          <w:rStyle w:val="Zdraznn"/>
          <w:lang w:val="en-GB"/>
        </w:rPr>
        <w:t>NAP Level of Service Key Performance Indicators Framework</w:t>
      </w:r>
      <w:r w:rsidRPr="00A24688">
        <w:rPr>
          <w:lang w:val="en-GB"/>
        </w:rPr>
        <w:t>, developed by NAPCORE. Each KPI contributes to the overall assessment and scoring of a National Access Point (NAP).</w:t>
      </w:r>
    </w:p>
    <w:p w14:paraId="098969A2" w14:textId="77777777" w:rsidR="00A24688" w:rsidRPr="00A24688" w:rsidRDefault="00A24688" w:rsidP="00D15440">
      <w:pPr>
        <w:rPr>
          <w:lang w:val="en-GB"/>
        </w:rPr>
      </w:pPr>
      <w:r w:rsidRPr="00A24688">
        <w:rPr>
          <w:lang w:val="en-GB"/>
        </w:rPr>
        <w:t xml:space="preserve">Most NLKF KPIs define a </w:t>
      </w:r>
      <w:r w:rsidRPr="00A24688">
        <w:rPr>
          <w:rStyle w:val="Siln"/>
          <w:lang w:val="en-GB"/>
        </w:rPr>
        <w:t>minimum required level</w:t>
      </w:r>
      <w:r w:rsidRPr="00A24688">
        <w:rPr>
          <w:lang w:val="en-GB"/>
        </w:rPr>
        <w:t xml:space="preserve">; failure to meet it indicates underperformance of the NAP. These KPIs are published annually in a standalone document and then imported into the NRA model as </w:t>
      </w:r>
      <w:r w:rsidRPr="00A24688">
        <w:rPr>
          <w:rStyle w:val="Siln"/>
          <w:lang w:val="en-GB"/>
        </w:rPr>
        <w:t>NRA KPI Specifications</w:t>
      </w:r>
      <w:r w:rsidRPr="00A24688">
        <w:rPr>
          <w:lang w:val="en-GB"/>
        </w:rPr>
        <w:t>.</w:t>
      </w:r>
    </w:p>
    <w:p w14:paraId="77A61BE1" w14:textId="77777777" w:rsidR="00A24688" w:rsidRPr="00A24688" w:rsidRDefault="00A24688" w:rsidP="00D15440">
      <w:pPr>
        <w:rPr>
          <w:lang w:val="en-GB"/>
        </w:rPr>
      </w:pPr>
      <w:r w:rsidRPr="00A24688">
        <w:rPr>
          <w:lang w:val="en-GB"/>
        </w:rPr>
        <w:t xml:space="preserve">As high-level references, NRA KPI Specifications are </w:t>
      </w:r>
      <w:r w:rsidRPr="00A24688">
        <w:rPr>
          <w:rStyle w:val="Zdraznn"/>
          <w:lang w:val="en-GB"/>
        </w:rPr>
        <w:t>not</w:t>
      </w:r>
      <w:r w:rsidRPr="00A24688">
        <w:rPr>
          <w:lang w:val="en-GB"/>
        </w:rPr>
        <w:t xml:space="preserve"> linked directly to architecture objects. Instead, they serve as sources for derived </w:t>
      </w:r>
      <w:r w:rsidRPr="00A24688">
        <w:rPr>
          <w:rStyle w:val="Siln"/>
          <w:lang w:val="en-GB"/>
        </w:rPr>
        <w:t>Requirements</w:t>
      </w:r>
      <w:r w:rsidRPr="00A24688">
        <w:rPr>
          <w:lang w:val="en-GB"/>
        </w:rPr>
        <w:t>, which are explicitly linked to relevant NRA components.</w:t>
      </w:r>
    </w:p>
    <w:p w14:paraId="3A887123" w14:textId="77777777" w:rsidR="00A24688" w:rsidRPr="00A24688" w:rsidRDefault="00A24688" w:rsidP="00D15440">
      <w:pPr>
        <w:rPr>
          <w:lang w:val="en-GB"/>
        </w:rPr>
      </w:pPr>
      <w:r w:rsidRPr="00A24688">
        <w:rPr>
          <w:lang w:val="en-GB"/>
        </w:rPr>
        <w:t xml:space="preserve">&gt; </w:t>
      </w:r>
      <w:r w:rsidRPr="00A24688">
        <w:rPr>
          <w:rStyle w:val="Siln"/>
          <w:lang w:val="en-GB"/>
        </w:rPr>
        <w:t>Specification → Requirement → NRA Object</w:t>
      </w:r>
      <w:r w:rsidRPr="00A24688">
        <w:rPr>
          <w:lang w:val="en-GB"/>
        </w:rPr>
        <w:t xml:space="preserve"> &gt; This structured linkage ensures clarity, traceability, and adaptability in the model.</w:t>
      </w:r>
    </w:p>
    <w:p w14:paraId="1F6922DC" w14:textId="77777777" w:rsidR="00A24688" w:rsidRPr="00A24688" w:rsidRDefault="00A24688" w:rsidP="00A24688">
      <w:pPr>
        <w:pStyle w:val="Normlnweb"/>
        <w:numPr>
          <w:ilvl w:val="0"/>
          <w:numId w:val="25"/>
        </w:numPr>
        <w:rPr>
          <w:rFonts w:asciiTheme="minorHAnsi" w:hAnsiTheme="minorHAnsi"/>
          <w:lang w:val="en-GB"/>
        </w:rPr>
      </w:pPr>
      <w:r w:rsidRPr="00A24688">
        <w:rPr>
          <w:rFonts w:asciiTheme="minorHAnsi" w:hAnsiTheme="minorHAnsi"/>
          <w:lang w:val="en-GB"/>
        </w:rPr>
        <w:t>A single NRA KPI Specification may lead to one or more Requirements</w:t>
      </w:r>
    </w:p>
    <w:p w14:paraId="6C68F9A5" w14:textId="09EE3102" w:rsidR="00A24688" w:rsidRPr="00A24688" w:rsidRDefault="00A24688" w:rsidP="00A24688">
      <w:pPr>
        <w:pStyle w:val="Normlnweb"/>
        <w:numPr>
          <w:ilvl w:val="0"/>
          <w:numId w:val="25"/>
        </w:numPr>
        <w:rPr>
          <w:rFonts w:asciiTheme="minorHAnsi" w:hAnsiTheme="minorHAnsi"/>
          <w:lang w:val="en-GB"/>
        </w:rPr>
      </w:pPr>
      <w:r w:rsidRPr="00A24688">
        <w:rPr>
          <w:rFonts w:asciiTheme="minorHAnsi" w:hAnsiTheme="minorHAnsi"/>
          <w:lang w:val="en-GB"/>
        </w:rPr>
        <w:t>Some Specifications may not yield any Requirements if they are not applicable within the NRA's scope</w:t>
      </w:r>
    </w:p>
    <w:p w14:paraId="7924BAE6" w14:textId="123E0F9A" w:rsidR="00D16045" w:rsidRPr="00D16045" w:rsidRDefault="00D16045" w:rsidP="00D16045">
      <w:pPr>
        <w:pStyle w:val="Nadpis1"/>
        <w:rPr>
          <w:lang w:val="en-GB"/>
        </w:rPr>
      </w:pPr>
      <w:bookmarkStart w:id="1" w:name="_Hlk200652914"/>
      <w:r w:rsidRPr="00D16045">
        <w:rPr>
          <w:lang w:val="en-GB"/>
        </w:rPr>
        <w:lastRenderedPageBreak/>
        <w:t>KPI Structure in the EA Model</w:t>
      </w:r>
    </w:p>
    <w:p w14:paraId="112301AB" w14:textId="77777777" w:rsidR="00D16045" w:rsidRPr="00D16045" w:rsidRDefault="00D16045" w:rsidP="00D16045">
      <w:pPr>
        <w:pStyle w:val="Odstavecseseznamem"/>
        <w:numPr>
          <w:ilvl w:val="0"/>
          <w:numId w:val="14"/>
        </w:numPr>
        <w:rPr>
          <w:lang w:val="en-GB"/>
        </w:rPr>
      </w:pPr>
      <w:r w:rsidRPr="00D16045">
        <w:rPr>
          <w:lang w:val="en-GB"/>
        </w:rPr>
        <w:t>NLKF KPIs are maintained in the EA model under: Supplements\Specifications\KPI Framework.</w:t>
      </w:r>
    </w:p>
    <w:p w14:paraId="0703B732" w14:textId="77777777" w:rsidR="00D16045" w:rsidRPr="00D16045" w:rsidRDefault="00D16045" w:rsidP="00D16045">
      <w:pPr>
        <w:pStyle w:val="Odstavecseseznamem"/>
        <w:numPr>
          <w:ilvl w:val="0"/>
          <w:numId w:val="14"/>
        </w:numPr>
        <w:rPr>
          <w:lang w:val="en-GB"/>
        </w:rPr>
      </w:pPr>
      <w:r w:rsidRPr="00D16045">
        <w:rPr>
          <w:lang w:val="en-GB"/>
        </w:rPr>
        <w:t>The folder structure mirrors the NLKF KPI categorization, with each category represented as a subfolder.</w:t>
      </w:r>
    </w:p>
    <w:p w14:paraId="3497A3E0" w14:textId="77777777" w:rsidR="00D16045" w:rsidRPr="00D16045" w:rsidRDefault="00D16045" w:rsidP="00D16045">
      <w:pPr>
        <w:pStyle w:val="Odstavecseseznamem"/>
        <w:numPr>
          <w:ilvl w:val="0"/>
          <w:numId w:val="14"/>
        </w:numPr>
        <w:rPr>
          <w:lang w:val="en-GB"/>
        </w:rPr>
      </w:pPr>
      <w:r w:rsidRPr="00D16045">
        <w:rPr>
          <w:lang w:val="en-GB"/>
        </w:rPr>
        <w:t xml:space="preserve">Each KPI is created as a </w:t>
      </w:r>
      <w:r w:rsidRPr="00D16045">
        <w:rPr>
          <w:b/>
          <w:bCs/>
          <w:lang w:val="en-GB"/>
        </w:rPr>
        <w:t>Specification</w:t>
      </w:r>
      <w:r w:rsidRPr="00D16045">
        <w:rPr>
          <w:lang w:val="en-GB"/>
        </w:rPr>
        <w:t xml:space="preserve"> object. Its name matches the original KPI name.</w:t>
      </w:r>
    </w:p>
    <w:bookmarkEnd w:id="1"/>
    <w:p w14:paraId="05E90B41" w14:textId="58617F60" w:rsidR="00D16045" w:rsidRPr="00D16045" w:rsidRDefault="00D16045" w:rsidP="00D16045">
      <w:pPr>
        <w:rPr>
          <w:lang w:val="en-GB"/>
        </w:rPr>
      </w:pPr>
      <w:r w:rsidRPr="003D7568">
        <w:rPr>
          <w:noProof/>
          <w:lang w:val="en-GB"/>
        </w:rPr>
        <w:drawing>
          <wp:inline distT="0" distB="0" distL="0" distR="0" wp14:anchorId="2F6059A5" wp14:editId="0CE5EA37">
            <wp:extent cx="5760720" cy="1910715"/>
            <wp:effectExtent l="0" t="0" r="0" b="0"/>
            <wp:docPr id="58654314" name="Obrázek 1" descr="Obsah obrázku text, snímek obrazovky&#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4314" name="Obrázek 1" descr="Obsah obrázku text, snímek obrazovky&#10;&#10;Obsah generovaný pomocí AI může být nesprávný."/>
                    <pic:cNvPicPr/>
                  </pic:nvPicPr>
                  <pic:blipFill>
                    <a:blip r:embed="rId9"/>
                    <a:stretch>
                      <a:fillRect/>
                    </a:stretch>
                  </pic:blipFill>
                  <pic:spPr>
                    <a:xfrm>
                      <a:off x="0" y="0"/>
                      <a:ext cx="5760720" cy="1910715"/>
                    </a:xfrm>
                    <a:prstGeom prst="rect">
                      <a:avLst/>
                    </a:prstGeom>
                  </pic:spPr>
                </pic:pic>
              </a:graphicData>
            </a:graphic>
          </wp:inline>
        </w:drawing>
      </w:r>
    </w:p>
    <w:p w14:paraId="38769062" w14:textId="5CDAE716" w:rsidR="00D16045" w:rsidRPr="00D16045" w:rsidRDefault="00D16045" w:rsidP="00D16045">
      <w:pPr>
        <w:pStyle w:val="Nadpis1"/>
        <w:rPr>
          <w:lang w:val="en-GB"/>
        </w:rPr>
      </w:pPr>
      <w:bookmarkStart w:id="2" w:name="_Hlk200653108"/>
      <w:r w:rsidRPr="00D16045">
        <w:rPr>
          <w:lang w:val="en-GB"/>
        </w:rPr>
        <w:t>Modelling KPIs in the NRA</w:t>
      </w:r>
      <w:bookmarkEnd w:id="2"/>
    </w:p>
    <w:p w14:paraId="378DC86F" w14:textId="77777777" w:rsidR="00D16045" w:rsidRPr="00D16045" w:rsidRDefault="00D16045" w:rsidP="00D16045">
      <w:pPr>
        <w:rPr>
          <w:lang w:val="en-GB"/>
        </w:rPr>
      </w:pPr>
      <w:r w:rsidRPr="00D16045">
        <w:rPr>
          <w:lang w:val="en-GB"/>
        </w:rPr>
        <w:t>Each KPI Specification includes:</w:t>
      </w:r>
    </w:p>
    <w:p w14:paraId="554F1314" w14:textId="77777777" w:rsidR="00D16045" w:rsidRPr="00D16045" w:rsidRDefault="00D16045" w:rsidP="00D16045">
      <w:pPr>
        <w:pStyle w:val="Odstavecseseznamem"/>
        <w:numPr>
          <w:ilvl w:val="0"/>
          <w:numId w:val="15"/>
        </w:numPr>
        <w:rPr>
          <w:lang w:val="en-GB"/>
        </w:rPr>
      </w:pPr>
      <w:r w:rsidRPr="00D16045">
        <w:rPr>
          <w:lang w:val="en-GB"/>
        </w:rPr>
        <w:t>ID and Name</w:t>
      </w:r>
    </w:p>
    <w:p w14:paraId="559BCE6A" w14:textId="77777777" w:rsidR="00D16045" w:rsidRPr="00D16045" w:rsidRDefault="00D16045" w:rsidP="00D16045">
      <w:pPr>
        <w:pStyle w:val="Odstavecseseznamem"/>
        <w:numPr>
          <w:ilvl w:val="0"/>
          <w:numId w:val="15"/>
        </w:numPr>
        <w:rPr>
          <w:lang w:val="en-GB"/>
        </w:rPr>
      </w:pPr>
      <w:r w:rsidRPr="00D16045">
        <w:rPr>
          <w:lang w:val="en-GB"/>
        </w:rPr>
        <w:t>Description and supporting notes</w:t>
      </w:r>
    </w:p>
    <w:p w14:paraId="554AA4C7" w14:textId="77777777" w:rsidR="00D16045" w:rsidRPr="00D16045" w:rsidRDefault="00D16045" w:rsidP="00D16045">
      <w:pPr>
        <w:pStyle w:val="Odstavecseseznamem"/>
        <w:numPr>
          <w:ilvl w:val="0"/>
          <w:numId w:val="15"/>
        </w:numPr>
        <w:rPr>
          <w:lang w:val="en-GB"/>
        </w:rPr>
      </w:pPr>
      <w:r w:rsidRPr="00D16045">
        <w:rPr>
          <w:lang w:val="en-GB"/>
        </w:rPr>
        <w:t>Options or choices (if applicable)</w:t>
      </w:r>
    </w:p>
    <w:p w14:paraId="2BA05231" w14:textId="77777777" w:rsidR="00D16045" w:rsidRPr="00D16045" w:rsidRDefault="00D16045" w:rsidP="00D16045">
      <w:pPr>
        <w:pStyle w:val="Odstavecseseznamem"/>
        <w:numPr>
          <w:ilvl w:val="0"/>
          <w:numId w:val="15"/>
        </w:numPr>
        <w:rPr>
          <w:lang w:val="en-GB"/>
        </w:rPr>
      </w:pPr>
      <w:r w:rsidRPr="00D16045">
        <w:rPr>
          <w:lang w:val="en-GB"/>
        </w:rPr>
        <w:t>Minimum acceptable threshold (for interoperability)</w:t>
      </w:r>
    </w:p>
    <w:p w14:paraId="71AB85A7" w14:textId="77777777" w:rsidR="00D16045" w:rsidRPr="00D16045" w:rsidRDefault="00D16045" w:rsidP="00D16045">
      <w:pPr>
        <w:rPr>
          <w:lang w:val="en-GB"/>
        </w:rPr>
      </w:pPr>
      <w:r w:rsidRPr="003D7568">
        <w:rPr>
          <w:noProof/>
          <w:lang w:val="en-GB"/>
        </w:rPr>
        <w:drawing>
          <wp:inline distT="0" distB="0" distL="0" distR="0" wp14:anchorId="5C335CD0" wp14:editId="397C8F39">
            <wp:extent cx="3060901" cy="2050385"/>
            <wp:effectExtent l="0" t="0" r="6350" b="7620"/>
            <wp:docPr id="140509229" name="Obrázek 1" descr="Obsah obrázku text, snímek obrazovky, Písmo, číslo&#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9229" name="Obrázek 1" descr="Obsah obrázku text, snímek obrazovky, Písmo, číslo&#10;&#10;Obsah generovaný pomocí AI může být nesprávný."/>
                    <pic:cNvPicPr/>
                  </pic:nvPicPr>
                  <pic:blipFill>
                    <a:blip r:embed="rId10"/>
                    <a:stretch>
                      <a:fillRect/>
                    </a:stretch>
                  </pic:blipFill>
                  <pic:spPr>
                    <a:xfrm>
                      <a:off x="0" y="0"/>
                      <a:ext cx="3090407" cy="2070150"/>
                    </a:xfrm>
                    <a:prstGeom prst="rect">
                      <a:avLst/>
                    </a:prstGeom>
                  </pic:spPr>
                </pic:pic>
              </a:graphicData>
            </a:graphic>
          </wp:inline>
        </w:drawing>
      </w:r>
      <w:r w:rsidRPr="00D16045">
        <w:rPr>
          <w:noProof/>
          <w:lang w:val="en-GB"/>
        </w:rPr>
        <w:t xml:space="preserve"> </w:t>
      </w:r>
      <w:r w:rsidRPr="003D7568">
        <w:rPr>
          <w:noProof/>
          <w:lang w:val="en-GB"/>
        </w:rPr>
        <w:drawing>
          <wp:inline distT="0" distB="0" distL="0" distR="0" wp14:anchorId="7A8F5A9D" wp14:editId="6894423A">
            <wp:extent cx="2248350" cy="2065344"/>
            <wp:effectExtent l="0" t="0" r="0" b="0"/>
            <wp:docPr id="2031296157" name="Obrázek 1" descr="Obsah obrázku text, elektronika, snímek obrazovky,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96157" name="Obrázek 1" descr="Obsah obrázku text, elektronika, snímek obrazovky, software&#10;&#10;Obsah generovaný pomocí AI může být nesprávný."/>
                    <pic:cNvPicPr/>
                  </pic:nvPicPr>
                  <pic:blipFill>
                    <a:blip r:embed="rId11"/>
                    <a:stretch>
                      <a:fillRect/>
                    </a:stretch>
                  </pic:blipFill>
                  <pic:spPr>
                    <a:xfrm>
                      <a:off x="0" y="0"/>
                      <a:ext cx="2270322" cy="2085528"/>
                    </a:xfrm>
                    <a:prstGeom prst="rect">
                      <a:avLst/>
                    </a:prstGeom>
                  </pic:spPr>
                </pic:pic>
              </a:graphicData>
            </a:graphic>
          </wp:inline>
        </w:drawing>
      </w:r>
    </w:p>
    <w:p w14:paraId="09BBFAE0" w14:textId="215F8025" w:rsidR="008236DC" w:rsidRPr="008236DC" w:rsidRDefault="008236DC" w:rsidP="008236DC">
      <w:pPr>
        <w:pStyle w:val="Nadpis1"/>
        <w:rPr>
          <w:lang w:val="en-GB"/>
        </w:rPr>
      </w:pPr>
      <w:r w:rsidRPr="008236DC">
        <w:rPr>
          <w:lang w:val="en-GB"/>
        </w:rPr>
        <w:t>Managing Requirements</w:t>
      </w:r>
    </w:p>
    <w:p w14:paraId="0B940D0A" w14:textId="0F224052" w:rsidR="008236DC" w:rsidRPr="008236DC" w:rsidRDefault="008236DC" w:rsidP="008236DC">
      <w:pPr>
        <w:rPr>
          <w:b/>
          <w:bCs/>
          <w:lang w:val="en-GB"/>
        </w:rPr>
      </w:pPr>
      <w:r w:rsidRPr="008A6F52">
        <w:rPr>
          <w:lang w:val="en-GB"/>
        </w:rPr>
        <w:t xml:space="preserve">Some </w:t>
      </w:r>
      <w:r>
        <w:rPr>
          <w:lang w:val="en-GB"/>
        </w:rPr>
        <w:t xml:space="preserve">NRA KPIs </w:t>
      </w:r>
      <w:r w:rsidRPr="008A6F52">
        <w:rPr>
          <w:lang w:val="en-GB"/>
        </w:rPr>
        <w:t>Specifications result in Requirements that articulate enforceable architectural constraints.</w:t>
      </w:r>
      <w:r w:rsidRPr="008236DC">
        <w:rPr>
          <w:lang w:val="en-GB"/>
        </w:rPr>
        <w:t xml:space="preserve"> </w:t>
      </w:r>
      <w:r w:rsidRPr="008236DC">
        <w:rPr>
          <w:b/>
          <w:bCs/>
          <w:lang w:val="en-GB"/>
        </w:rPr>
        <w:t xml:space="preserve">See the Requirement guideline </w:t>
      </w:r>
      <w:r w:rsidRPr="008236DC">
        <w:rPr>
          <w:lang w:val="en-GB"/>
        </w:rPr>
        <w:t>for:</w:t>
      </w:r>
    </w:p>
    <w:p w14:paraId="49C4EBCF" w14:textId="77777777" w:rsidR="008236DC" w:rsidRPr="008236DC" w:rsidRDefault="008236DC" w:rsidP="008236DC">
      <w:pPr>
        <w:pStyle w:val="Odstavecseseznamem"/>
        <w:numPr>
          <w:ilvl w:val="0"/>
          <w:numId w:val="28"/>
        </w:numPr>
        <w:spacing w:before="0" w:after="160" w:line="278" w:lineRule="auto"/>
        <w:rPr>
          <w:lang w:val="en-GB"/>
        </w:rPr>
      </w:pPr>
      <w:r w:rsidRPr="008236DC">
        <w:rPr>
          <w:lang w:val="en-GB"/>
        </w:rPr>
        <w:lastRenderedPageBreak/>
        <w:t>Creating Requirements</w:t>
      </w:r>
    </w:p>
    <w:p w14:paraId="2297405D" w14:textId="77777777" w:rsidR="008236DC" w:rsidRPr="008236DC" w:rsidRDefault="008236DC" w:rsidP="008236DC">
      <w:pPr>
        <w:pStyle w:val="Odstavecseseznamem"/>
        <w:numPr>
          <w:ilvl w:val="0"/>
          <w:numId w:val="28"/>
        </w:numPr>
        <w:spacing w:before="0" w:after="160" w:line="278" w:lineRule="auto"/>
        <w:rPr>
          <w:lang w:val="en-GB"/>
        </w:rPr>
      </w:pPr>
      <w:r w:rsidRPr="008236DC">
        <w:rPr>
          <w:lang w:val="en-GB"/>
        </w:rPr>
        <w:t>Moving requirement in the model</w:t>
      </w:r>
    </w:p>
    <w:p w14:paraId="1F8CF34C" w14:textId="77777777" w:rsidR="008236DC" w:rsidRPr="008236DC" w:rsidRDefault="008236DC" w:rsidP="008236DC">
      <w:pPr>
        <w:pStyle w:val="Odstavecseseznamem"/>
        <w:numPr>
          <w:ilvl w:val="0"/>
          <w:numId w:val="28"/>
        </w:numPr>
        <w:spacing w:before="0" w:after="160" w:line="278" w:lineRule="auto"/>
        <w:rPr>
          <w:lang w:val="en-GB"/>
        </w:rPr>
      </w:pPr>
      <w:r w:rsidRPr="008236DC">
        <w:rPr>
          <w:lang w:val="en-GB"/>
        </w:rPr>
        <w:t>Mapping and Linking Requirements to NRA Objects</w:t>
      </w:r>
    </w:p>
    <w:p w14:paraId="01F79483" w14:textId="482DE65C" w:rsidR="00D16045" w:rsidRPr="00D16045" w:rsidRDefault="00D16045" w:rsidP="00A760F1">
      <w:pPr>
        <w:pStyle w:val="Nadpis1"/>
        <w:rPr>
          <w:lang w:val="en-GB"/>
        </w:rPr>
      </w:pPr>
      <w:r w:rsidRPr="00D16045">
        <w:rPr>
          <w:lang w:val="en-GB"/>
        </w:rPr>
        <w:t>KPI Maintenance and Updates</w:t>
      </w:r>
    </w:p>
    <w:p w14:paraId="120915C6" w14:textId="77777777" w:rsidR="00D16045" w:rsidRPr="00D16045" w:rsidRDefault="00D16045" w:rsidP="00D16045">
      <w:pPr>
        <w:rPr>
          <w:b/>
          <w:bCs/>
          <w:lang w:val="en-GB"/>
        </w:rPr>
      </w:pPr>
      <w:r w:rsidRPr="00D16045">
        <w:rPr>
          <w:b/>
          <w:bCs/>
          <w:lang w:val="en-GB"/>
        </w:rPr>
        <w:t>Trigger:</w:t>
      </w:r>
    </w:p>
    <w:p w14:paraId="0194F88B" w14:textId="77777777" w:rsidR="00D16045" w:rsidRPr="00D16045" w:rsidRDefault="00D16045" w:rsidP="00D16045">
      <w:pPr>
        <w:rPr>
          <w:lang w:val="en-GB"/>
        </w:rPr>
      </w:pPr>
      <w:r w:rsidRPr="00D16045">
        <w:rPr>
          <w:lang w:val="en-GB"/>
        </w:rPr>
        <w:t>Initiated only upon the release of a new NLKF KPI Framework version.</w:t>
      </w:r>
    </w:p>
    <w:p w14:paraId="4B0FAC09" w14:textId="77777777" w:rsidR="00D16045" w:rsidRPr="00D16045" w:rsidRDefault="00D16045" w:rsidP="00D16045">
      <w:pPr>
        <w:rPr>
          <w:b/>
          <w:bCs/>
          <w:lang w:val="en-GB"/>
        </w:rPr>
      </w:pPr>
      <w:r w:rsidRPr="00D16045">
        <w:rPr>
          <w:b/>
          <w:bCs/>
          <w:lang w:val="en-GB"/>
        </w:rPr>
        <w:t>Version tracking:</w:t>
      </w:r>
    </w:p>
    <w:p w14:paraId="3347B04F" w14:textId="77777777" w:rsidR="00D16045" w:rsidRPr="00D16045" w:rsidRDefault="00D16045" w:rsidP="00D16045">
      <w:pPr>
        <w:pStyle w:val="Odstavecseseznamem"/>
        <w:numPr>
          <w:ilvl w:val="0"/>
          <w:numId w:val="21"/>
        </w:numPr>
        <w:rPr>
          <w:lang w:val="en-GB"/>
        </w:rPr>
      </w:pPr>
      <w:r w:rsidRPr="00D16045">
        <w:rPr>
          <w:lang w:val="en-GB"/>
        </w:rPr>
        <w:t xml:space="preserve">The version is recorded at the </w:t>
      </w:r>
      <w:r w:rsidRPr="00D16045">
        <w:rPr>
          <w:b/>
          <w:bCs/>
          <w:lang w:val="en-GB"/>
        </w:rPr>
        <w:t>KPI Framework package</w:t>
      </w:r>
      <w:r w:rsidRPr="00D16045">
        <w:rPr>
          <w:lang w:val="en-GB"/>
        </w:rPr>
        <w:t xml:space="preserve"> level in EA.</w:t>
      </w:r>
    </w:p>
    <w:p w14:paraId="6043A03D" w14:textId="77777777" w:rsidR="00D16045" w:rsidRPr="00D16045" w:rsidRDefault="00D16045" w:rsidP="00D16045">
      <w:pPr>
        <w:pStyle w:val="Odstavecseseznamem"/>
        <w:numPr>
          <w:ilvl w:val="0"/>
          <w:numId w:val="21"/>
        </w:numPr>
        <w:rPr>
          <w:lang w:val="en-GB"/>
        </w:rPr>
      </w:pPr>
      <w:r w:rsidRPr="00D16045">
        <w:rPr>
          <w:lang w:val="en-GB"/>
        </w:rPr>
        <w:t>It is not propagated into individual KPI or Requirement elements.</w:t>
      </w:r>
    </w:p>
    <w:p w14:paraId="1D672053" w14:textId="77777777" w:rsidR="00D16045" w:rsidRPr="00D16045" w:rsidRDefault="00D16045" w:rsidP="00D16045">
      <w:pPr>
        <w:pStyle w:val="Nadpis2"/>
        <w:rPr>
          <w:lang w:val="en-GB"/>
        </w:rPr>
      </w:pPr>
      <w:r w:rsidRPr="00D16045">
        <w:rPr>
          <w:lang w:val="en-GB"/>
        </w:rPr>
        <w:t>Update process:</w:t>
      </w:r>
    </w:p>
    <w:p w14:paraId="184FD3AA" w14:textId="77777777" w:rsidR="00D16045" w:rsidRPr="00D16045" w:rsidRDefault="00D16045" w:rsidP="00D16045">
      <w:pPr>
        <w:rPr>
          <w:lang w:val="en-GB"/>
        </w:rPr>
      </w:pPr>
      <w:r w:rsidRPr="00D16045">
        <w:rPr>
          <w:b/>
          <w:bCs/>
          <w:lang w:val="en-GB"/>
        </w:rPr>
        <w:t>For existing KPIs (matched by ID):</w:t>
      </w:r>
    </w:p>
    <w:p w14:paraId="4977ED7C" w14:textId="77777777" w:rsidR="00D16045" w:rsidRPr="00D16045" w:rsidRDefault="00D16045" w:rsidP="00D16045">
      <w:pPr>
        <w:pStyle w:val="Odstavecseseznamem"/>
        <w:numPr>
          <w:ilvl w:val="0"/>
          <w:numId w:val="20"/>
        </w:numPr>
        <w:rPr>
          <w:lang w:val="en-GB"/>
        </w:rPr>
      </w:pPr>
      <w:r w:rsidRPr="00D16045">
        <w:rPr>
          <w:lang w:val="en-GB"/>
        </w:rPr>
        <w:t>Compare definitions and minimum interoperability levels.</w:t>
      </w:r>
    </w:p>
    <w:p w14:paraId="18DE87E3" w14:textId="77777777" w:rsidR="00D16045" w:rsidRPr="00D16045" w:rsidRDefault="00D16045" w:rsidP="00D16045">
      <w:pPr>
        <w:pStyle w:val="Odstavecseseznamem"/>
        <w:numPr>
          <w:ilvl w:val="0"/>
          <w:numId w:val="20"/>
        </w:numPr>
        <w:rPr>
          <w:lang w:val="en-GB"/>
        </w:rPr>
      </w:pPr>
      <w:r w:rsidRPr="00D16045">
        <w:rPr>
          <w:lang w:val="en-GB"/>
        </w:rPr>
        <w:t>If changes exist:</w:t>
      </w:r>
    </w:p>
    <w:p w14:paraId="2C0FE123" w14:textId="77777777" w:rsidR="00D16045" w:rsidRPr="00D16045" w:rsidRDefault="00D16045" w:rsidP="00D16045">
      <w:pPr>
        <w:pStyle w:val="Odstavecseseznamem"/>
        <w:numPr>
          <w:ilvl w:val="1"/>
          <w:numId w:val="20"/>
        </w:numPr>
        <w:rPr>
          <w:lang w:val="en-GB"/>
        </w:rPr>
      </w:pPr>
      <w:r w:rsidRPr="00D16045">
        <w:rPr>
          <w:lang w:val="en-GB"/>
        </w:rPr>
        <w:t>Update the NRA KPI content.</w:t>
      </w:r>
    </w:p>
    <w:p w14:paraId="783CD51A" w14:textId="77777777" w:rsidR="00D16045" w:rsidRPr="00D16045" w:rsidRDefault="00D16045" w:rsidP="00D16045">
      <w:pPr>
        <w:pStyle w:val="Odstavecseseznamem"/>
        <w:numPr>
          <w:ilvl w:val="1"/>
          <w:numId w:val="20"/>
        </w:numPr>
        <w:rPr>
          <w:lang w:val="en-GB"/>
        </w:rPr>
      </w:pPr>
      <w:r w:rsidRPr="00D16045">
        <w:rPr>
          <w:lang w:val="en-GB"/>
        </w:rPr>
        <w:t>Identify impacted Requirements and NRA objects:</w:t>
      </w:r>
    </w:p>
    <w:p w14:paraId="50C83B08" w14:textId="77777777" w:rsidR="00D16045" w:rsidRPr="00D16045" w:rsidRDefault="00D16045" w:rsidP="00D16045">
      <w:pPr>
        <w:pStyle w:val="Odstavecseseznamem"/>
        <w:numPr>
          <w:ilvl w:val="2"/>
          <w:numId w:val="20"/>
        </w:numPr>
        <w:rPr>
          <w:lang w:val="en-GB"/>
        </w:rPr>
      </w:pPr>
      <w:r w:rsidRPr="00D16045">
        <w:rPr>
          <w:lang w:val="en-GB"/>
        </w:rPr>
        <w:t>Remap or unmap as appropriate.</w:t>
      </w:r>
    </w:p>
    <w:p w14:paraId="2C8D9406" w14:textId="77777777" w:rsidR="00D16045" w:rsidRPr="00D16045" w:rsidRDefault="00D16045" w:rsidP="00D16045">
      <w:pPr>
        <w:pStyle w:val="Odstavecseseznamem"/>
        <w:numPr>
          <w:ilvl w:val="2"/>
          <w:numId w:val="20"/>
        </w:numPr>
        <w:rPr>
          <w:lang w:val="en-GB"/>
        </w:rPr>
      </w:pPr>
      <w:r w:rsidRPr="00D16045">
        <w:rPr>
          <w:lang w:val="en-GB"/>
        </w:rPr>
        <w:t>Adjust object definitions to align with the updated KPI.</w:t>
      </w:r>
    </w:p>
    <w:p w14:paraId="4E747628" w14:textId="77777777" w:rsidR="00D16045" w:rsidRPr="00D16045" w:rsidRDefault="00D16045" w:rsidP="00D16045">
      <w:pPr>
        <w:rPr>
          <w:lang w:val="en-GB"/>
        </w:rPr>
      </w:pPr>
      <w:r w:rsidRPr="00D16045">
        <w:rPr>
          <w:b/>
          <w:bCs/>
          <w:lang w:val="en-GB"/>
        </w:rPr>
        <w:t>For deprecated KPIs (present in NRA, missing in NLKF):</w:t>
      </w:r>
    </w:p>
    <w:p w14:paraId="64E5BD69" w14:textId="77777777" w:rsidR="00D16045" w:rsidRPr="00D16045" w:rsidRDefault="00D16045" w:rsidP="00D16045">
      <w:pPr>
        <w:pStyle w:val="Odstavecseseznamem"/>
        <w:numPr>
          <w:ilvl w:val="0"/>
          <w:numId w:val="20"/>
        </w:numPr>
        <w:rPr>
          <w:lang w:val="en-GB"/>
        </w:rPr>
      </w:pPr>
      <w:r w:rsidRPr="00D16045">
        <w:rPr>
          <w:lang w:val="en-GB"/>
        </w:rPr>
        <w:t>Delete the NRA KPI and all related Requirements and mappings.</w:t>
      </w:r>
    </w:p>
    <w:p w14:paraId="5CA06007" w14:textId="77777777" w:rsidR="00D16045" w:rsidRPr="00D16045" w:rsidRDefault="00D16045" w:rsidP="00D16045">
      <w:pPr>
        <w:rPr>
          <w:lang w:val="en-GB"/>
        </w:rPr>
      </w:pPr>
      <w:r w:rsidRPr="00D16045">
        <w:rPr>
          <w:b/>
          <w:bCs/>
          <w:lang w:val="en-GB"/>
        </w:rPr>
        <w:t>For new KPIs (present in NLKF, missing in NRA):</w:t>
      </w:r>
    </w:p>
    <w:p w14:paraId="0F90C230" w14:textId="7329FB2B" w:rsidR="00D16045" w:rsidRPr="00D16045" w:rsidRDefault="00D16045" w:rsidP="00D16045">
      <w:pPr>
        <w:pStyle w:val="Odstavecseseznamem"/>
        <w:numPr>
          <w:ilvl w:val="0"/>
          <w:numId w:val="20"/>
        </w:numPr>
        <w:rPr>
          <w:lang w:val="en-GB"/>
        </w:rPr>
      </w:pPr>
      <w:r w:rsidRPr="00D16045">
        <w:rPr>
          <w:lang w:val="en-GB"/>
        </w:rPr>
        <w:t>Create a new NRA KPI Specification and follow full modelling, mapping, and linking steps described in Sections 2–5.</w:t>
      </w:r>
    </w:p>
    <w:p w14:paraId="0B4D1BCD" w14:textId="77777777" w:rsidR="00684D85" w:rsidRPr="00D16045" w:rsidRDefault="00684D85">
      <w:pPr>
        <w:rPr>
          <w:lang w:val="en-GB"/>
        </w:rPr>
      </w:pPr>
    </w:p>
    <w:sectPr w:rsidR="00684D85" w:rsidRPr="00D160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4994"/>
    <w:multiLevelType w:val="hybridMultilevel"/>
    <w:tmpl w:val="F18071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B53732"/>
    <w:multiLevelType w:val="hybridMultilevel"/>
    <w:tmpl w:val="67B617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F64C6E"/>
    <w:multiLevelType w:val="multilevel"/>
    <w:tmpl w:val="C92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B0C81"/>
    <w:multiLevelType w:val="hybridMultilevel"/>
    <w:tmpl w:val="E0B2C1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103D2F"/>
    <w:multiLevelType w:val="multilevel"/>
    <w:tmpl w:val="CCEAA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80690"/>
    <w:multiLevelType w:val="multilevel"/>
    <w:tmpl w:val="EE3A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914E2"/>
    <w:multiLevelType w:val="hybridMultilevel"/>
    <w:tmpl w:val="BA8041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DF912B2"/>
    <w:multiLevelType w:val="multilevel"/>
    <w:tmpl w:val="B87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A648A"/>
    <w:multiLevelType w:val="multilevel"/>
    <w:tmpl w:val="9E5CB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719E9"/>
    <w:multiLevelType w:val="multilevel"/>
    <w:tmpl w:val="5A8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3229E"/>
    <w:multiLevelType w:val="hybridMultilevel"/>
    <w:tmpl w:val="70ECA9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C225204"/>
    <w:multiLevelType w:val="multilevel"/>
    <w:tmpl w:val="3468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9577D"/>
    <w:multiLevelType w:val="hybridMultilevel"/>
    <w:tmpl w:val="17C400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3716D3"/>
    <w:multiLevelType w:val="multilevel"/>
    <w:tmpl w:val="94760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91293"/>
    <w:multiLevelType w:val="multilevel"/>
    <w:tmpl w:val="900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21C8A"/>
    <w:multiLevelType w:val="hybridMultilevel"/>
    <w:tmpl w:val="074412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A5F68D6"/>
    <w:multiLevelType w:val="multilevel"/>
    <w:tmpl w:val="2FA6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4743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15:restartNumberingAfterBreak="0">
    <w:nsid w:val="503D7689"/>
    <w:multiLevelType w:val="hybridMultilevel"/>
    <w:tmpl w:val="7DA474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2C16AAF"/>
    <w:multiLevelType w:val="multilevel"/>
    <w:tmpl w:val="1B4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40790"/>
    <w:multiLevelType w:val="multilevel"/>
    <w:tmpl w:val="9E5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83216"/>
    <w:multiLevelType w:val="hybridMultilevel"/>
    <w:tmpl w:val="7AC66E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6A042D0"/>
    <w:multiLevelType w:val="hybridMultilevel"/>
    <w:tmpl w:val="C5F845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AFD4AEB"/>
    <w:multiLevelType w:val="hybridMultilevel"/>
    <w:tmpl w:val="982AF5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D8B38F6"/>
    <w:multiLevelType w:val="multilevel"/>
    <w:tmpl w:val="D818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80E38"/>
    <w:multiLevelType w:val="hybridMultilevel"/>
    <w:tmpl w:val="7A7EC1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36B1582"/>
    <w:multiLevelType w:val="multilevel"/>
    <w:tmpl w:val="B34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E1611"/>
    <w:multiLevelType w:val="multilevel"/>
    <w:tmpl w:val="9FFE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0843">
    <w:abstractNumId w:val="27"/>
  </w:num>
  <w:num w:numId="2" w16cid:durableId="712340571">
    <w:abstractNumId w:val="26"/>
  </w:num>
  <w:num w:numId="3" w16cid:durableId="995647988">
    <w:abstractNumId w:val="2"/>
  </w:num>
  <w:num w:numId="4" w16cid:durableId="325860900">
    <w:abstractNumId w:val="8"/>
  </w:num>
  <w:num w:numId="5" w16cid:durableId="1804536644">
    <w:abstractNumId w:val="11"/>
  </w:num>
  <w:num w:numId="6" w16cid:durableId="2124113668">
    <w:abstractNumId w:val="24"/>
  </w:num>
  <w:num w:numId="7" w16cid:durableId="1379352267">
    <w:abstractNumId w:val="16"/>
  </w:num>
  <w:num w:numId="8" w16cid:durableId="910962190">
    <w:abstractNumId w:val="9"/>
  </w:num>
  <w:num w:numId="9" w16cid:durableId="677122326">
    <w:abstractNumId w:val="5"/>
  </w:num>
  <w:num w:numId="10" w16cid:durableId="863442811">
    <w:abstractNumId w:val="7"/>
  </w:num>
  <w:num w:numId="11" w16cid:durableId="29039795">
    <w:abstractNumId w:val="4"/>
  </w:num>
  <w:num w:numId="12" w16cid:durableId="644165246">
    <w:abstractNumId w:val="14"/>
  </w:num>
  <w:num w:numId="13" w16cid:durableId="1304314150">
    <w:abstractNumId w:val="20"/>
  </w:num>
  <w:num w:numId="14" w16cid:durableId="746148324">
    <w:abstractNumId w:val="21"/>
  </w:num>
  <w:num w:numId="15" w16cid:durableId="1756903690">
    <w:abstractNumId w:val="1"/>
  </w:num>
  <w:num w:numId="16" w16cid:durableId="2117869402">
    <w:abstractNumId w:val="23"/>
  </w:num>
  <w:num w:numId="17" w16cid:durableId="1906641293">
    <w:abstractNumId w:val="10"/>
  </w:num>
  <w:num w:numId="18" w16cid:durableId="1020543294">
    <w:abstractNumId w:val="12"/>
  </w:num>
  <w:num w:numId="19" w16cid:durableId="56056300">
    <w:abstractNumId w:val="3"/>
  </w:num>
  <w:num w:numId="20" w16cid:durableId="940139588">
    <w:abstractNumId w:val="15"/>
  </w:num>
  <w:num w:numId="21" w16cid:durableId="1506289975">
    <w:abstractNumId w:val="22"/>
  </w:num>
  <w:num w:numId="22" w16cid:durableId="576287887">
    <w:abstractNumId w:val="25"/>
  </w:num>
  <w:num w:numId="23" w16cid:durableId="1986742533">
    <w:abstractNumId w:val="6"/>
  </w:num>
  <w:num w:numId="24" w16cid:durableId="1253514970">
    <w:abstractNumId w:val="19"/>
  </w:num>
  <w:num w:numId="25" w16cid:durableId="1925798816">
    <w:abstractNumId w:val="18"/>
  </w:num>
  <w:num w:numId="26" w16cid:durableId="81532577">
    <w:abstractNumId w:val="17"/>
  </w:num>
  <w:num w:numId="27" w16cid:durableId="1375036479">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8" w16cid:durableId="202756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45"/>
    <w:rsid w:val="000F0B6F"/>
    <w:rsid w:val="001139CE"/>
    <w:rsid w:val="002579BC"/>
    <w:rsid w:val="00684D85"/>
    <w:rsid w:val="00821F43"/>
    <w:rsid w:val="008236DC"/>
    <w:rsid w:val="008C7A5C"/>
    <w:rsid w:val="00A24688"/>
    <w:rsid w:val="00A760F1"/>
    <w:rsid w:val="00D15440"/>
    <w:rsid w:val="00D16045"/>
    <w:rsid w:val="00DD0F82"/>
    <w:rsid w:val="00E824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0E29"/>
  <w15:chartTrackingRefBased/>
  <w15:docId w15:val="{E95ACFF8-E043-4506-99A5-48FB9C77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15440"/>
    <w:pPr>
      <w:spacing w:before="60" w:after="60" w:line="276" w:lineRule="auto"/>
    </w:pPr>
  </w:style>
  <w:style w:type="paragraph" w:styleId="Nadpis1">
    <w:name w:val="heading 1"/>
    <w:basedOn w:val="Normln"/>
    <w:next w:val="Normln"/>
    <w:link w:val="Nadpis1Char"/>
    <w:uiPriority w:val="9"/>
    <w:qFormat/>
    <w:rsid w:val="00D16045"/>
    <w:pPr>
      <w:keepNext/>
      <w:keepLines/>
      <w:numPr>
        <w:numId w:val="2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D16045"/>
    <w:pPr>
      <w:keepNext/>
      <w:keepLines/>
      <w:numPr>
        <w:ilvl w:val="1"/>
        <w:numId w:val="2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D16045"/>
    <w:pPr>
      <w:keepNext/>
      <w:keepLines/>
      <w:numPr>
        <w:ilvl w:val="2"/>
        <w:numId w:val="26"/>
      </w:numPr>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D16045"/>
    <w:pPr>
      <w:keepNext/>
      <w:keepLines/>
      <w:numPr>
        <w:ilvl w:val="3"/>
        <w:numId w:val="26"/>
      </w:numPr>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D16045"/>
    <w:pPr>
      <w:keepNext/>
      <w:keepLines/>
      <w:numPr>
        <w:ilvl w:val="4"/>
        <w:numId w:val="26"/>
      </w:numPr>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D16045"/>
    <w:pPr>
      <w:keepNext/>
      <w:keepLines/>
      <w:numPr>
        <w:ilvl w:val="5"/>
        <w:numId w:val="26"/>
      </w:numPr>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D16045"/>
    <w:pPr>
      <w:keepNext/>
      <w:keepLines/>
      <w:numPr>
        <w:ilvl w:val="6"/>
        <w:numId w:val="26"/>
      </w:numPr>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D16045"/>
    <w:pPr>
      <w:keepNext/>
      <w:keepLines/>
      <w:numPr>
        <w:ilvl w:val="7"/>
        <w:numId w:val="26"/>
      </w:numPr>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D16045"/>
    <w:pPr>
      <w:keepNext/>
      <w:keepLines/>
      <w:numPr>
        <w:ilvl w:val="8"/>
        <w:numId w:val="26"/>
      </w:numPr>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1604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D1604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D1604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D1604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D1604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D1604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D1604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D1604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D16045"/>
    <w:rPr>
      <w:rFonts w:eastAsiaTheme="majorEastAsia" w:cstheme="majorBidi"/>
      <w:color w:val="272727" w:themeColor="text1" w:themeTint="D8"/>
    </w:rPr>
  </w:style>
  <w:style w:type="paragraph" w:styleId="Nzev">
    <w:name w:val="Title"/>
    <w:basedOn w:val="Normln"/>
    <w:next w:val="Normln"/>
    <w:link w:val="NzevChar"/>
    <w:uiPriority w:val="10"/>
    <w:qFormat/>
    <w:rsid w:val="00D16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1604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D1604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D1604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D16045"/>
    <w:pPr>
      <w:spacing w:before="160"/>
      <w:jc w:val="center"/>
    </w:pPr>
    <w:rPr>
      <w:i/>
      <w:iCs/>
      <w:color w:val="404040" w:themeColor="text1" w:themeTint="BF"/>
    </w:rPr>
  </w:style>
  <w:style w:type="character" w:customStyle="1" w:styleId="CittChar">
    <w:name w:val="Citát Char"/>
    <w:basedOn w:val="Standardnpsmoodstavce"/>
    <w:link w:val="Citt"/>
    <w:uiPriority w:val="29"/>
    <w:rsid w:val="00D16045"/>
    <w:rPr>
      <w:i/>
      <w:iCs/>
      <w:color w:val="404040" w:themeColor="text1" w:themeTint="BF"/>
    </w:rPr>
  </w:style>
  <w:style w:type="paragraph" w:styleId="Odstavecseseznamem">
    <w:name w:val="List Paragraph"/>
    <w:basedOn w:val="Normln"/>
    <w:uiPriority w:val="34"/>
    <w:qFormat/>
    <w:rsid w:val="00D16045"/>
    <w:pPr>
      <w:ind w:left="720"/>
      <w:contextualSpacing/>
    </w:pPr>
  </w:style>
  <w:style w:type="character" w:styleId="Zdraznnintenzivn">
    <w:name w:val="Intense Emphasis"/>
    <w:basedOn w:val="Standardnpsmoodstavce"/>
    <w:uiPriority w:val="21"/>
    <w:qFormat/>
    <w:rsid w:val="00D16045"/>
    <w:rPr>
      <w:i/>
      <w:iCs/>
      <w:color w:val="0F4761" w:themeColor="accent1" w:themeShade="BF"/>
    </w:rPr>
  </w:style>
  <w:style w:type="paragraph" w:styleId="Vrazncitt">
    <w:name w:val="Intense Quote"/>
    <w:basedOn w:val="Normln"/>
    <w:next w:val="Normln"/>
    <w:link w:val="VrazncittChar"/>
    <w:uiPriority w:val="30"/>
    <w:qFormat/>
    <w:rsid w:val="00D16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D16045"/>
    <w:rPr>
      <w:i/>
      <w:iCs/>
      <w:color w:val="0F4761" w:themeColor="accent1" w:themeShade="BF"/>
    </w:rPr>
  </w:style>
  <w:style w:type="character" w:styleId="Odkazintenzivn">
    <w:name w:val="Intense Reference"/>
    <w:basedOn w:val="Standardnpsmoodstavce"/>
    <w:uiPriority w:val="32"/>
    <w:qFormat/>
    <w:rsid w:val="00D16045"/>
    <w:rPr>
      <w:b/>
      <w:bCs/>
      <w:smallCaps/>
      <w:color w:val="0F4761" w:themeColor="accent1" w:themeShade="BF"/>
      <w:spacing w:val="5"/>
    </w:rPr>
  </w:style>
  <w:style w:type="table" w:styleId="Mkatabulky">
    <w:name w:val="Table Grid"/>
    <w:basedOn w:val="Normlntabulka"/>
    <w:uiPriority w:val="39"/>
    <w:rsid w:val="008C7A5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unhideWhenUsed/>
    <w:rsid w:val="00A246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ln">
    <w:name w:val="Strong"/>
    <w:basedOn w:val="Standardnpsmoodstavce"/>
    <w:uiPriority w:val="22"/>
    <w:qFormat/>
    <w:rsid w:val="00A24688"/>
    <w:rPr>
      <w:b/>
      <w:bCs/>
    </w:rPr>
  </w:style>
  <w:style w:type="character" w:styleId="Zdraznn">
    <w:name w:val="Emphasis"/>
    <w:basedOn w:val="Standardnpsmoodstavce"/>
    <w:uiPriority w:val="20"/>
    <w:qFormat/>
    <w:rsid w:val="00A246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99553">
      <w:bodyDiv w:val="1"/>
      <w:marLeft w:val="0"/>
      <w:marRight w:val="0"/>
      <w:marTop w:val="0"/>
      <w:marBottom w:val="0"/>
      <w:divBdr>
        <w:top w:val="none" w:sz="0" w:space="0" w:color="auto"/>
        <w:left w:val="none" w:sz="0" w:space="0" w:color="auto"/>
        <w:bottom w:val="none" w:sz="0" w:space="0" w:color="auto"/>
        <w:right w:val="none" w:sz="0" w:space="0" w:color="auto"/>
      </w:divBdr>
    </w:div>
    <w:div w:id="944003061">
      <w:bodyDiv w:val="1"/>
      <w:marLeft w:val="0"/>
      <w:marRight w:val="0"/>
      <w:marTop w:val="0"/>
      <w:marBottom w:val="0"/>
      <w:divBdr>
        <w:top w:val="none" w:sz="0" w:space="0" w:color="auto"/>
        <w:left w:val="none" w:sz="0" w:space="0" w:color="auto"/>
        <w:bottom w:val="none" w:sz="0" w:space="0" w:color="auto"/>
        <w:right w:val="none" w:sz="0" w:space="0" w:color="auto"/>
      </w:divBdr>
    </w:div>
    <w:div w:id="1372194135">
      <w:bodyDiv w:val="1"/>
      <w:marLeft w:val="0"/>
      <w:marRight w:val="0"/>
      <w:marTop w:val="0"/>
      <w:marBottom w:val="0"/>
      <w:divBdr>
        <w:top w:val="none" w:sz="0" w:space="0" w:color="auto"/>
        <w:left w:val="none" w:sz="0" w:space="0" w:color="auto"/>
        <w:bottom w:val="none" w:sz="0" w:space="0" w:color="auto"/>
        <w:right w:val="none" w:sz="0" w:space="0" w:color="auto"/>
      </w:divBdr>
    </w:div>
    <w:div w:id="1654142726">
      <w:bodyDiv w:val="1"/>
      <w:marLeft w:val="0"/>
      <w:marRight w:val="0"/>
      <w:marTop w:val="0"/>
      <w:marBottom w:val="0"/>
      <w:divBdr>
        <w:top w:val="none" w:sz="0" w:space="0" w:color="auto"/>
        <w:left w:val="none" w:sz="0" w:space="0" w:color="auto"/>
        <w:bottom w:val="none" w:sz="0" w:space="0" w:color="auto"/>
        <w:right w:val="none" w:sz="0" w:space="0" w:color="auto"/>
      </w:divBdr>
    </w:div>
    <w:div w:id="210102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CE5D3-39A1-4B71-A69E-8B094539F0C6}">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2.xml><?xml version="1.0" encoding="utf-8"?>
<ds:datastoreItem xmlns:ds="http://schemas.openxmlformats.org/officeDocument/2006/customXml" ds:itemID="{8B122797-9A5F-433B-9CBE-8252E4506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9512D1-99D4-475D-A753-22FE06779519}">
  <ds:schemaRefs>
    <ds:schemaRef ds:uri="http://schemas.microsoft.com/sharepoint/v3/contenttype/forms"/>
  </ds:schemaRefs>
</ds:datastoreItem>
</file>

<file path=customXml/itemProps4.xml><?xml version="1.0" encoding="utf-8"?>
<ds:datastoreItem xmlns:ds="http://schemas.openxmlformats.org/officeDocument/2006/customXml" ds:itemID="{9E0005E2-01D9-4EBB-8770-7DAE2E86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495</Words>
  <Characters>2924</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Bureš (CZ/TTR)</dc:creator>
  <cp:keywords/>
  <dc:description/>
  <cp:lastModifiedBy>Petr Bureš (CZ/TTR)</cp:lastModifiedBy>
  <cp:revision>7</cp:revision>
  <dcterms:created xsi:type="dcterms:W3CDTF">2025-06-12T13:05:00Z</dcterms:created>
  <dcterms:modified xsi:type="dcterms:W3CDTF">2025-06-12T18:52:00Z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