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0B878" w14:textId="77777777" w:rsidR="00F7238C" w:rsidRPr="002352A4" w:rsidRDefault="00F7238C" w:rsidP="00F7238C">
      <w:pPr>
        <w:pStyle w:val="Nzev"/>
      </w:pPr>
      <w:r w:rsidRPr="002352A4">
        <w:t>Managing Specifications in the NAP Reference Architecture</w:t>
      </w:r>
    </w:p>
    <w:p w14:paraId="5520B3B4" w14:textId="3BAACA4F" w:rsidR="00F7238C" w:rsidRPr="002352A4" w:rsidRDefault="00F7238C" w:rsidP="00F7238C">
      <w:r w:rsidRPr="002352A4">
        <w:rPr>
          <w:b/>
          <w:bCs/>
        </w:rPr>
        <w:t xml:space="preserve">Purpose: </w:t>
      </w:r>
      <w:r w:rsidR="008A6F52" w:rsidRPr="002352A4">
        <w:t>This guideline outlines how legal, technical, and advisory specifications are curated, classified, stored, and maintained within the NRA model in Enterprise Architect (EA). Specifications form a traceable knowledge base and serve as sources for modelled Requirements that connect to NRA architecture components.</w:t>
      </w:r>
    </w:p>
    <w:p w14:paraId="0B99EFDE" w14:textId="77777777" w:rsidR="009071CE" w:rsidRPr="002352A4" w:rsidRDefault="009071CE" w:rsidP="009071CE">
      <w:r w:rsidRPr="002352A4">
        <w:rPr>
          <w:b/>
          <w:bCs/>
        </w:rPr>
        <w:t xml:space="preserve">Audience: </w:t>
      </w:r>
      <w:r w:rsidRPr="002352A4">
        <w:t>NRA maintenance team.</w:t>
      </w:r>
    </w:p>
    <w:tbl>
      <w:tblPr>
        <w:tblStyle w:val="Mkatabulky"/>
        <w:tblW w:w="0" w:type="auto"/>
        <w:tblLook w:val="04A0" w:firstRow="1" w:lastRow="0" w:firstColumn="1" w:lastColumn="0" w:noHBand="0" w:noVBand="1"/>
      </w:tblPr>
      <w:tblGrid>
        <w:gridCol w:w="1555"/>
        <w:gridCol w:w="2126"/>
        <w:gridCol w:w="5381"/>
      </w:tblGrid>
      <w:tr w:rsidR="00FC676D" w:rsidRPr="002352A4" w14:paraId="72C68B90" w14:textId="77777777" w:rsidTr="00FC676D">
        <w:tc>
          <w:tcPr>
            <w:tcW w:w="1555" w:type="dxa"/>
          </w:tcPr>
          <w:p w14:paraId="043056B8" w14:textId="7B27B71B" w:rsidR="00FC676D" w:rsidRPr="002352A4" w:rsidRDefault="00FC676D" w:rsidP="009071CE">
            <w:r w:rsidRPr="002352A4">
              <w:t>Version</w:t>
            </w:r>
          </w:p>
        </w:tc>
        <w:tc>
          <w:tcPr>
            <w:tcW w:w="2126" w:type="dxa"/>
          </w:tcPr>
          <w:p w14:paraId="4D7B7EA0" w14:textId="12180170" w:rsidR="00FC676D" w:rsidRPr="002352A4" w:rsidRDefault="00FC676D" w:rsidP="009071CE">
            <w:r w:rsidRPr="002352A4">
              <w:t>Author</w:t>
            </w:r>
          </w:p>
        </w:tc>
        <w:tc>
          <w:tcPr>
            <w:tcW w:w="5381" w:type="dxa"/>
          </w:tcPr>
          <w:p w14:paraId="15B5994B" w14:textId="1D372F78" w:rsidR="00FC676D" w:rsidRPr="002352A4" w:rsidRDefault="00FC676D" w:rsidP="009071CE">
            <w:r w:rsidRPr="002352A4">
              <w:t>Note</w:t>
            </w:r>
          </w:p>
        </w:tc>
      </w:tr>
      <w:tr w:rsidR="00FC676D" w:rsidRPr="002352A4" w14:paraId="24D688AB" w14:textId="77777777" w:rsidTr="00FC676D">
        <w:tc>
          <w:tcPr>
            <w:tcW w:w="1555" w:type="dxa"/>
          </w:tcPr>
          <w:p w14:paraId="45E511CB" w14:textId="4F1EB495" w:rsidR="00FC676D" w:rsidRPr="002352A4" w:rsidRDefault="00FC676D" w:rsidP="009071CE">
            <w:r w:rsidRPr="002352A4">
              <w:t>1.0</w:t>
            </w:r>
          </w:p>
        </w:tc>
        <w:tc>
          <w:tcPr>
            <w:tcW w:w="2126" w:type="dxa"/>
          </w:tcPr>
          <w:p w14:paraId="7FE86399" w14:textId="7CC35ED2" w:rsidR="00FC676D" w:rsidRPr="002352A4" w:rsidRDefault="00FC676D" w:rsidP="009071CE">
            <w:r w:rsidRPr="002352A4">
              <w:t>Petr Bureš</w:t>
            </w:r>
          </w:p>
        </w:tc>
        <w:tc>
          <w:tcPr>
            <w:tcW w:w="5381" w:type="dxa"/>
          </w:tcPr>
          <w:p w14:paraId="1141D008" w14:textId="4D5F190B" w:rsidR="00FC676D" w:rsidRPr="002352A4" w:rsidRDefault="00FC676D" w:rsidP="009071CE">
            <w:r w:rsidRPr="002352A4">
              <w:t>Revised, simplified structure of the Specification, added requirements connection.</w:t>
            </w:r>
          </w:p>
        </w:tc>
      </w:tr>
    </w:tbl>
    <w:p w14:paraId="629AE9AA" w14:textId="77777777" w:rsidR="00F7238C" w:rsidRPr="002352A4" w:rsidRDefault="00F7238C" w:rsidP="009071CE">
      <w:pPr>
        <w:pStyle w:val="Nadpis1"/>
      </w:pPr>
      <w:r w:rsidRPr="002352A4">
        <w:t>Scope</w:t>
      </w:r>
    </w:p>
    <w:p w14:paraId="1F9AB01E" w14:textId="77777777" w:rsidR="008A6F52" w:rsidRPr="002352A4" w:rsidRDefault="008A6F52" w:rsidP="008A6F52">
      <w:r w:rsidRPr="002352A4">
        <w:t>This guideline covers:</w:t>
      </w:r>
    </w:p>
    <w:p w14:paraId="0C632C45" w14:textId="77777777" w:rsidR="008A6F52" w:rsidRPr="002352A4" w:rsidRDefault="008A6F52">
      <w:pPr>
        <w:pStyle w:val="Odstavecseseznamem"/>
        <w:numPr>
          <w:ilvl w:val="0"/>
          <w:numId w:val="3"/>
        </w:numPr>
      </w:pPr>
      <w:r w:rsidRPr="002352A4">
        <w:t>All Specification objects maintained in EA</w:t>
      </w:r>
    </w:p>
    <w:p w14:paraId="53A5FD7A" w14:textId="7AF56C3E" w:rsidR="008A6F52" w:rsidRPr="002352A4" w:rsidRDefault="008A6F52">
      <w:pPr>
        <w:pStyle w:val="Odstavecseseznamem"/>
        <w:numPr>
          <w:ilvl w:val="0"/>
          <w:numId w:val="3"/>
        </w:numPr>
      </w:pPr>
      <w:r w:rsidRPr="002352A4">
        <w:t>Structure, classification and linkage</w:t>
      </w:r>
    </w:p>
    <w:p w14:paraId="21FA03D2" w14:textId="77777777" w:rsidR="008A6F52" w:rsidRPr="002352A4" w:rsidRDefault="008A6F52">
      <w:pPr>
        <w:pStyle w:val="Odstavecseseznamem"/>
        <w:numPr>
          <w:ilvl w:val="0"/>
          <w:numId w:val="3"/>
        </w:numPr>
      </w:pPr>
      <w:r w:rsidRPr="002352A4">
        <w:t>Excludes:</w:t>
      </w:r>
    </w:p>
    <w:p w14:paraId="0F71423E" w14:textId="77777777" w:rsidR="008A6F52" w:rsidRPr="002352A4" w:rsidRDefault="008A6F52">
      <w:pPr>
        <w:pStyle w:val="Odstavecseseznamem"/>
        <w:numPr>
          <w:ilvl w:val="1"/>
          <w:numId w:val="3"/>
        </w:numPr>
      </w:pPr>
      <w:r w:rsidRPr="002352A4">
        <w:t>Specifications derived from KPIs (see Guideline 2)</w:t>
      </w:r>
    </w:p>
    <w:p w14:paraId="07070BC9" w14:textId="77777777" w:rsidR="008A6F52" w:rsidRPr="002352A4" w:rsidRDefault="008A6F52">
      <w:pPr>
        <w:pStyle w:val="Odstavecseseznamem"/>
        <w:numPr>
          <w:ilvl w:val="1"/>
          <w:numId w:val="3"/>
        </w:numPr>
      </w:pPr>
      <w:r w:rsidRPr="002352A4">
        <w:t>Requirements derived from Specifications (see Guideline 3)</w:t>
      </w:r>
    </w:p>
    <w:p w14:paraId="44E6832D" w14:textId="77777777" w:rsidR="008A6F52" w:rsidRPr="002352A4" w:rsidRDefault="008A6F52" w:rsidP="008A6F52">
      <w:pPr>
        <w:pStyle w:val="Nadpis1"/>
      </w:pPr>
      <w:r w:rsidRPr="002352A4">
        <w:t>Role of Specifications in the NRA</w:t>
      </w:r>
    </w:p>
    <w:p w14:paraId="5A432CF0" w14:textId="65FFCD4F" w:rsidR="008A6F52" w:rsidRPr="002352A4" w:rsidRDefault="008A6F52" w:rsidP="008A6F52">
      <w:r w:rsidRPr="002352A4">
        <w:t xml:space="preserve">Specifications are modelled to represent formal, external documents (legal acts, standards, guidance) relevant to the NRA. These are high-level sources and are </w:t>
      </w:r>
      <w:r w:rsidRPr="002352A4">
        <w:rPr>
          <w:b/>
          <w:bCs/>
        </w:rPr>
        <w:t>not directly linked</w:t>
      </w:r>
      <w:r w:rsidRPr="002352A4">
        <w:t xml:space="preserve"> to architecture objects. Instead, </w:t>
      </w:r>
      <w:r w:rsidRPr="002352A4">
        <w:rPr>
          <w:b/>
          <w:bCs/>
        </w:rPr>
        <w:t>Requirements</w:t>
      </w:r>
      <w:r w:rsidRPr="002352A4">
        <w:t xml:space="preserve"> are derived from them to establish traceable constraints and obligations in the model.</w:t>
      </w:r>
    </w:p>
    <w:p w14:paraId="5E1FD9FD" w14:textId="77777777" w:rsidR="008A6F52" w:rsidRPr="002352A4" w:rsidRDefault="008A6F52" w:rsidP="008A6F52">
      <w:r w:rsidRPr="002352A4">
        <w:t xml:space="preserve">&gt; </w:t>
      </w:r>
      <w:r w:rsidRPr="002352A4">
        <w:rPr>
          <w:b/>
          <w:bCs/>
        </w:rPr>
        <w:t>Specification → Requirement → NRA Object</w:t>
      </w:r>
      <w:r w:rsidRPr="002352A4">
        <w:t xml:space="preserve"> This layered linkage supports flexibility, traceability, and clarity.</w:t>
      </w:r>
    </w:p>
    <w:p w14:paraId="06FAA0D8" w14:textId="77777777" w:rsidR="008A6F52" w:rsidRPr="002352A4" w:rsidRDefault="008A6F52">
      <w:pPr>
        <w:pStyle w:val="Odstavecseseznamem"/>
        <w:numPr>
          <w:ilvl w:val="0"/>
          <w:numId w:val="4"/>
        </w:numPr>
      </w:pPr>
      <w:r w:rsidRPr="002352A4">
        <w:t>A single Specification may yield multiple Requirements</w:t>
      </w:r>
    </w:p>
    <w:p w14:paraId="1F9EFDCC" w14:textId="5E6EAB8F" w:rsidR="008A6F52" w:rsidRPr="002352A4" w:rsidRDefault="008A6F52">
      <w:pPr>
        <w:pStyle w:val="Odstavecseseznamem"/>
        <w:numPr>
          <w:ilvl w:val="0"/>
          <w:numId w:val="4"/>
        </w:numPr>
      </w:pPr>
      <w:r w:rsidRPr="002352A4">
        <w:t>Some Specifications may yield no Requirements if not applicable to the architecture</w:t>
      </w:r>
    </w:p>
    <w:p w14:paraId="3E63476E" w14:textId="77777777" w:rsidR="008A6F52" w:rsidRPr="002352A4" w:rsidRDefault="008A6F52" w:rsidP="008A6F52">
      <w:pPr>
        <w:pStyle w:val="Nadpis1"/>
      </w:pPr>
      <w:r w:rsidRPr="002352A4">
        <w:t>Specification Folder Structure</w:t>
      </w:r>
    </w:p>
    <w:p w14:paraId="01B818B6" w14:textId="77777777" w:rsidR="008A6F52" w:rsidRPr="002352A4" w:rsidRDefault="008A6F52" w:rsidP="008A6F52">
      <w:r w:rsidRPr="002352A4">
        <w:t>Specifications are maintained in: Supplements\Specifications and Recommendations</w:t>
      </w:r>
    </w:p>
    <w:p w14:paraId="0E98B81D" w14:textId="77777777" w:rsidR="008A6F52" w:rsidRPr="002352A4" w:rsidRDefault="008A6F52" w:rsidP="008A6F52">
      <w:r w:rsidRPr="002352A4">
        <w:t>Subfolders represent specification categories:</w:t>
      </w:r>
    </w:p>
    <w:p w14:paraId="13DBFAA5" w14:textId="77777777" w:rsidR="008A6F52" w:rsidRPr="002352A4" w:rsidRDefault="008A6F52">
      <w:pPr>
        <w:pStyle w:val="Odstavecseseznamem"/>
        <w:numPr>
          <w:ilvl w:val="0"/>
          <w:numId w:val="5"/>
        </w:numPr>
      </w:pPr>
      <w:r w:rsidRPr="002352A4">
        <w:rPr>
          <w:b/>
          <w:bCs/>
        </w:rPr>
        <w:lastRenderedPageBreak/>
        <w:t>Legal</w:t>
      </w:r>
      <w:r w:rsidRPr="002352A4">
        <w:t xml:space="preserve"> – EU directives, regulations, implementing acts</w:t>
      </w:r>
    </w:p>
    <w:p w14:paraId="792B48B5" w14:textId="77777777" w:rsidR="008A6F52" w:rsidRPr="002352A4" w:rsidRDefault="008A6F52">
      <w:pPr>
        <w:pStyle w:val="Odstavecseseznamem"/>
        <w:numPr>
          <w:ilvl w:val="0"/>
          <w:numId w:val="5"/>
        </w:numPr>
      </w:pPr>
      <w:r w:rsidRPr="002352A4">
        <w:rPr>
          <w:b/>
          <w:bCs/>
        </w:rPr>
        <w:t>Technical</w:t>
      </w:r>
      <w:r w:rsidRPr="002352A4">
        <w:t xml:space="preserve"> – e.g., DATEX II, NETEX, SIRI</w:t>
      </w:r>
    </w:p>
    <w:p w14:paraId="0C912D83" w14:textId="77777777" w:rsidR="008A6F52" w:rsidRPr="002352A4" w:rsidRDefault="008A6F52">
      <w:pPr>
        <w:pStyle w:val="Odstavecseseznamem"/>
        <w:numPr>
          <w:ilvl w:val="0"/>
          <w:numId w:val="5"/>
        </w:numPr>
      </w:pPr>
      <w:r w:rsidRPr="002352A4">
        <w:rPr>
          <w:b/>
          <w:bCs/>
        </w:rPr>
        <w:t>Recommendation</w:t>
      </w:r>
      <w:r w:rsidRPr="002352A4">
        <w:t xml:space="preserve"> – NAPCORE guidance, industry good practices</w:t>
      </w:r>
    </w:p>
    <w:p w14:paraId="388BA17A" w14:textId="77777777" w:rsidR="008A6F52" w:rsidRPr="002352A4" w:rsidRDefault="008A6F52">
      <w:pPr>
        <w:pStyle w:val="Odstavecseseznamem"/>
        <w:numPr>
          <w:ilvl w:val="0"/>
          <w:numId w:val="5"/>
        </w:numPr>
      </w:pPr>
      <w:r w:rsidRPr="002352A4">
        <w:rPr>
          <w:b/>
          <w:bCs/>
        </w:rPr>
        <w:t>Profiles</w:t>
      </w:r>
      <w:r w:rsidRPr="002352A4">
        <w:t xml:space="preserve"> – Data model profiles</w:t>
      </w:r>
    </w:p>
    <w:p w14:paraId="5FBEA993" w14:textId="77777777" w:rsidR="008A6F52" w:rsidRPr="002352A4" w:rsidRDefault="008A6F52">
      <w:pPr>
        <w:pStyle w:val="Odstavecseseznamem"/>
        <w:numPr>
          <w:ilvl w:val="0"/>
          <w:numId w:val="5"/>
        </w:numPr>
      </w:pPr>
      <w:r w:rsidRPr="002352A4">
        <w:rPr>
          <w:b/>
          <w:bCs/>
        </w:rPr>
        <w:t>KPI Framework</w:t>
      </w:r>
      <w:r w:rsidRPr="002352A4">
        <w:t xml:space="preserve"> – References to NLKF guidance</w:t>
      </w:r>
    </w:p>
    <w:p w14:paraId="307C4797" w14:textId="77777777" w:rsidR="008A6F52" w:rsidRPr="002352A4" w:rsidRDefault="008A6F52">
      <w:pPr>
        <w:pStyle w:val="Odstavecseseznamem"/>
        <w:numPr>
          <w:ilvl w:val="0"/>
          <w:numId w:val="5"/>
        </w:numPr>
      </w:pPr>
      <w:r w:rsidRPr="002352A4">
        <w:rPr>
          <w:b/>
          <w:bCs/>
        </w:rPr>
        <w:t>Superseded</w:t>
      </w:r>
      <w:r w:rsidRPr="002352A4">
        <w:t xml:space="preserve"> – Deprecated specs with trace links retained</w:t>
      </w:r>
    </w:p>
    <w:p w14:paraId="55C0D55E" w14:textId="7AF09CEC" w:rsidR="009071CE" w:rsidRPr="002352A4" w:rsidRDefault="009071CE" w:rsidP="009071CE">
      <w:r w:rsidRPr="002352A4">
        <w:rPr>
          <w:noProof/>
        </w:rPr>
        <w:drawing>
          <wp:inline distT="0" distB="0" distL="0" distR="0" wp14:anchorId="7BC1109A" wp14:editId="30D47995">
            <wp:extent cx="5760720" cy="1396365"/>
            <wp:effectExtent l="0" t="0" r="0" b="0"/>
            <wp:docPr id="709430188" name="Obrázek 1" descr="Obsah obrázku text, snímek obrazovky, Písmo&#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30188" name="Obrázek 1" descr="Obsah obrázku text, snímek obrazovky, Písmo&#10;&#10;Obsah generovaný pomocí AI může být nesprávný."/>
                    <pic:cNvPicPr/>
                  </pic:nvPicPr>
                  <pic:blipFill>
                    <a:blip r:embed="rId9"/>
                    <a:stretch>
                      <a:fillRect/>
                    </a:stretch>
                  </pic:blipFill>
                  <pic:spPr>
                    <a:xfrm>
                      <a:off x="0" y="0"/>
                      <a:ext cx="5760720" cy="1396365"/>
                    </a:xfrm>
                    <a:prstGeom prst="rect">
                      <a:avLst/>
                    </a:prstGeom>
                  </pic:spPr>
                </pic:pic>
              </a:graphicData>
            </a:graphic>
          </wp:inline>
        </w:drawing>
      </w:r>
    </w:p>
    <w:p w14:paraId="4355F18F" w14:textId="64392CDE" w:rsidR="008A6F52" w:rsidRPr="002352A4" w:rsidRDefault="008A6F52" w:rsidP="008A6F52">
      <w:pPr>
        <w:pStyle w:val="Nadpis1"/>
      </w:pPr>
      <w:bookmarkStart w:id="0" w:name="_Hlk200657753"/>
      <w:r w:rsidRPr="002352A4">
        <w:t>Modelling Specifications in the NRA</w:t>
      </w:r>
    </w:p>
    <w:p w14:paraId="5320C1C1" w14:textId="1E8FCABB" w:rsidR="008A6F52" w:rsidRPr="002352A4" w:rsidRDefault="008A6F52" w:rsidP="008A6F52">
      <w:pPr>
        <w:pStyle w:val="Nadpis2"/>
      </w:pPr>
      <w:r w:rsidRPr="002352A4">
        <w:t>Specification Content</w:t>
      </w:r>
    </w:p>
    <w:bookmarkEnd w:id="0"/>
    <w:p w14:paraId="4721FBD2" w14:textId="4D4A095A" w:rsidR="00336A6B" w:rsidRPr="00336A6B" w:rsidRDefault="00336A6B" w:rsidP="00336A6B">
      <w:r w:rsidRPr="002352A4">
        <w:t>F</w:t>
      </w:r>
      <w:r w:rsidRPr="00336A6B">
        <w:t>ollowing structure describe and document specifications:</w:t>
      </w:r>
    </w:p>
    <w:p w14:paraId="7DC68BB1" w14:textId="77777777" w:rsidR="00336A6B" w:rsidRPr="002352A4" w:rsidRDefault="00336A6B" w:rsidP="00336A6B">
      <w:pPr>
        <w:pStyle w:val="Odstavecseseznamem"/>
        <w:numPr>
          <w:ilvl w:val="0"/>
          <w:numId w:val="17"/>
        </w:numPr>
      </w:pPr>
      <w:r w:rsidRPr="002352A4">
        <w:rPr>
          <w:b/>
          <w:bCs/>
        </w:rPr>
        <w:t>Short Name</w:t>
      </w:r>
      <w:r w:rsidRPr="002352A4">
        <w:t xml:space="preserve"> Concise title used in diagrams, lists, or references. </w:t>
      </w:r>
      <w:proofErr w:type="gramStart"/>
      <w:r w:rsidRPr="002352A4">
        <w:t>Typically</w:t>
      </w:r>
      <w:proofErr w:type="gramEnd"/>
      <w:r w:rsidRPr="002352A4">
        <w:t xml:space="preserve"> an abbreviation or a commonly recognized term.</w:t>
      </w:r>
    </w:p>
    <w:p w14:paraId="44E9EE6D" w14:textId="77777777" w:rsidR="00336A6B" w:rsidRPr="002352A4" w:rsidRDefault="00336A6B" w:rsidP="00336A6B">
      <w:pPr>
        <w:pStyle w:val="Odstavecseseznamem"/>
        <w:numPr>
          <w:ilvl w:val="0"/>
          <w:numId w:val="17"/>
        </w:numPr>
      </w:pPr>
      <w:r w:rsidRPr="002352A4">
        <w:rPr>
          <w:b/>
          <w:bCs/>
        </w:rPr>
        <w:t>Full Name</w:t>
      </w:r>
      <w:r w:rsidRPr="002352A4">
        <w:t xml:space="preserve"> Official, unabbreviated name of the specification.</w:t>
      </w:r>
    </w:p>
    <w:p w14:paraId="5D6C9F71" w14:textId="77777777" w:rsidR="00336A6B" w:rsidRPr="002352A4" w:rsidRDefault="00336A6B" w:rsidP="00336A6B">
      <w:pPr>
        <w:pStyle w:val="Odstavecseseznamem"/>
        <w:numPr>
          <w:ilvl w:val="0"/>
          <w:numId w:val="17"/>
        </w:numPr>
      </w:pPr>
      <w:r w:rsidRPr="002352A4">
        <w:rPr>
          <w:b/>
          <w:bCs/>
        </w:rPr>
        <w:t>Link</w:t>
      </w:r>
      <w:r w:rsidRPr="002352A4">
        <w:t xml:space="preserve"> URL linking directly to the official source document or specification repository.</w:t>
      </w:r>
    </w:p>
    <w:p w14:paraId="2B2D95B5" w14:textId="77777777" w:rsidR="00336A6B" w:rsidRPr="002352A4" w:rsidRDefault="00336A6B" w:rsidP="00336A6B">
      <w:pPr>
        <w:pStyle w:val="Odstavecseseznamem"/>
        <w:numPr>
          <w:ilvl w:val="0"/>
          <w:numId w:val="17"/>
        </w:numPr>
      </w:pPr>
      <w:r w:rsidRPr="002352A4">
        <w:rPr>
          <w:b/>
          <w:bCs/>
        </w:rPr>
        <w:t>Type</w:t>
      </w:r>
      <w:r w:rsidRPr="002352A4">
        <w:t xml:space="preserve"> Classification of the specification, selected from the following: </w:t>
      </w:r>
      <w:r w:rsidRPr="002352A4">
        <w:rPr>
          <w:i/>
          <w:iCs/>
        </w:rPr>
        <w:t>Legal</w:t>
      </w:r>
      <w:r w:rsidRPr="002352A4">
        <w:t xml:space="preserve">, </w:t>
      </w:r>
      <w:r w:rsidRPr="002352A4">
        <w:rPr>
          <w:i/>
          <w:iCs/>
        </w:rPr>
        <w:t>Technical</w:t>
      </w:r>
      <w:r w:rsidRPr="002352A4">
        <w:t xml:space="preserve">, </w:t>
      </w:r>
      <w:r w:rsidRPr="002352A4">
        <w:rPr>
          <w:i/>
          <w:iCs/>
        </w:rPr>
        <w:t>Recommendation</w:t>
      </w:r>
      <w:r w:rsidRPr="002352A4">
        <w:t xml:space="preserve">, </w:t>
      </w:r>
      <w:r w:rsidRPr="002352A4">
        <w:rPr>
          <w:i/>
          <w:iCs/>
        </w:rPr>
        <w:t>Profile</w:t>
      </w:r>
      <w:r w:rsidRPr="002352A4">
        <w:t xml:space="preserve">, </w:t>
      </w:r>
      <w:r w:rsidRPr="002352A4">
        <w:rPr>
          <w:i/>
          <w:iCs/>
        </w:rPr>
        <w:t>KPI</w:t>
      </w:r>
      <w:r w:rsidRPr="002352A4">
        <w:t>.</w:t>
      </w:r>
    </w:p>
    <w:p w14:paraId="0ED50A90" w14:textId="77777777" w:rsidR="00336A6B" w:rsidRPr="002352A4" w:rsidRDefault="00336A6B" w:rsidP="00336A6B">
      <w:pPr>
        <w:pStyle w:val="Odstavecseseznamem"/>
        <w:numPr>
          <w:ilvl w:val="0"/>
          <w:numId w:val="17"/>
        </w:numPr>
      </w:pPr>
      <w:r w:rsidRPr="002352A4">
        <w:rPr>
          <w:b/>
          <w:bCs/>
        </w:rPr>
        <w:t>Description</w:t>
      </w:r>
      <w:r w:rsidRPr="002352A4">
        <w:t xml:space="preserve"> A brief summary of the specification’s purpose and scope. If the specification supersedes a previous version, highlight the key changes or improvements.</w:t>
      </w:r>
    </w:p>
    <w:p w14:paraId="1E02E692" w14:textId="77777777" w:rsidR="00336A6B" w:rsidRPr="002352A4" w:rsidRDefault="00336A6B" w:rsidP="00336A6B">
      <w:pPr>
        <w:pStyle w:val="Odstavecseseznamem"/>
        <w:numPr>
          <w:ilvl w:val="0"/>
          <w:numId w:val="17"/>
        </w:numPr>
      </w:pPr>
      <w:r w:rsidRPr="002352A4">
        <w:rPr>
          <w:b/>
          <w:bCs/>
        </w:rPr>
        <w:t>Additional Context</w:t>
      </w:r>
      <w:r w:rsidRPr="002352A4">
        <w:t xml:space="preserve"> Explanation of the specification’s relevance within the system landscape (e.g. its role in the NAP ecosystem). Include noteworthy attributes, constraints, or expected benefits that are valuable for implementers or stakeholders.</w:t>
      </w:r>
    </w:p>
    <w:p w14:paraId="7054219D" w14:textId="77777777" w:rsidR="00336A6B" w:rsidRPr="002352A4" w:rsidRDefault="00336A6B" w:rsidP="00336A6B">
      <w:pPr>
        <w:pStyle w:val="Odstavecseseznamem"/>
        <w:numPr>
          <w:ilvl w:val="0"/>
          <w:numId w:val="17"/>
        </w:numPr>
      </w:pPr>
      <w:r w:rsidRPr="002352A4">
        <w:rPr>
          <w:b/>
          <w:bCs/>
        </w:rPr>
        <w:t>Related Resources</w:t>
      </w:r>
      <w:r w:rsidRPr="002352A4">
        <w:t xml:space="preserve"> A curated list of associated documents that further explain, support, or operationalize the specification. May include:</w:t>
      </w:r>
    </w:p>
    <w:p w14:paraId="669A752D" w14:textId="77777777" w:rsidR="00336A6B" w:rsidRPr="002352A4" w:rsidRDefault="00336A6B" w:rsidP="00336A6B">
      <w:pPr>
        <w:pStyle w:val="Odstavecseseznamem"/>
        <w:numPr>
          <w:ilvl w:val="1"/>
          <w:numId w:val="17"/>
        </w:numPr>
      </w:pPr>
      <w:r w:rsidRPr="002352A4">
        <w:t>Delegated regulations and legislative texts</w:t>
      </w:r>
    </w:p>
    <w:p w14:paraId="4E8E23FA" w14:textId="77777777" w:rsidR="00336A6B" w:rsidRPr="002352A4" w:rsidRDefault="00336A6B" w:rsidP="00336A6B">
      <w:pPr>
        <w:pStyle w:val="Odstavecseseznamem"/>
        <w:numPr>
          <w:ilvl w:val="1"/>
          <w:numId w:val="17"/>
        </w:numPr>
      </w:pPr>
      <w:r w:rsidRPr="002352A4">
        <w:t>Parts or modules of the standard</w:t>
      </w:r>
    </w:p>
    <w:p w14:paraId="3E07057D" w14:textId="77777777" w:rsidR="00336A6B" w:rsidRPr="002352A4" w:rsidRDefault="00336A6B" w:rsidP="00336A6B">
      <w:pPr>
        <w:pStyle w:val="Odstavecseseznamem"/>
        <w:numPr>
          <w:ilvl w:val="1"/>
          <w:numId w:val="17"/>
        </w:numPr>
      </w:pPr>
      <w:r w:rsidRPr="002352A4">
        <w:t>Implementation guidelines and manuals</w:t>
      </w:r>
    </w:p>
    <w:p w14:paraId="2E6A53D1" w14:textId="77777777" w:rsidR="00336A6B" w:rsidRPr="002352A4" w:rsidRDefault="00336A6B" w:rsidP="00336A6B">
      <w:pPr>
        <w:pStyle w:val="Odstavecseseznamem"/>
        <w:numPr>
          <w:ilvl w:val="1"/>
          <w:numId w:val="17"/>
        </w:numPr>
      </w:pPr>
      <w:r w:rsidRPr="002352A4">
        <w:t>Evaluation or summary reports</w:t>
      </w:r>
    </w:p>
    <w:p w14:paraId="401E56BC" w14:textId="77777777" w:rsidR="00336A6B" w:rsidRPr="002352A4" w:rsidRDefault="00336A6B" w:rsidP="00336A6B">
      <w:pPr>
        <w:pStyle w:val="Odstavecseseznamem"/>
        <w:numPr>
          <w:ilvl w:val="1"/>
          <w:numId w:val="17"/>
        </w:numPr>
      </w:pPr>
      <w:r w:rsidRPr="002352A4">
        <w:t>Informative web articles and official portals</w:t>
      </w:r>
    </w:p>
    <w:p w14:paraId="66F25405" w14:textId="77777777" w:rsidR="00336A6B" w:rsidRPr="002352A4" w:rsidRDefault="00336A6B" w:rsidP="00336A6B">
      <w:pPr>
        <w:pStyle w:val="Odstavecseseznamem"/>
        <w:numPr>
          <w:ilvl w:val="1"/>
          <w:numId w:val="17"/>
        </w:numPr>
      </w:pPr>
      <w:r w:rsidRPr="002352A4">
        <w:lastRenderedPageBreak/>
        <w:t>Schema repositories, technical tools, or open-source software</w:t>
      </w:r>
    </w:p>
    <w:p w14:paraId="798E28F7" w14:textId="3E5DD545" w:rsidR="00336A6B" w:rsidRPr="002352A4" w:rsidRDefault="00336A6B" w:rsidP="00336A6B">
      <w:pPr>
        <w:pStyle w:val="Odstavecseseznamem"/>
        <w:numPr>
          <w:ilvl w:val="0"/>
          <w:numId w:val="17"/>
        </w:numPr>
      </w:pPr>
      <w:r w:rsidRPr="002352A4">
        <w:t xml:space="preserve">Each </w:t>
      </w:r>
      <w:r w:rsidRPr="002352A4">
        <w:t>‘</w:t>
      </w:r>
      <w:r w:rsidRPr="002352A4">
        <w:rPr>
          <w:b/>
          <w:bCs/>
        </w:rPr>
        <w:t>Related Resources</w:t>
      </w:r>
      <w:r w:rsidRPr="002352A4">
        <w:t xml:space="preserve">’ </w:t>
      </w:r>
      <w:r w:rsidRPr="002352A4">
        <w:t>entry should include:</w:t>
      </w:r>
    </w:p>
    <w:p w14:paraId="5DC6942C" w14:textId="77777777" w:rsidR="00336A6B" w:rsidRPr="002352A4" w:rsidRDefault="00336A6B" w:rsidP="00336A6B">
      <w:pPr>
        <w:pStyle w:val="Odstavecseseznamem"/>
        <w:numPr>
          <w:ilvl w:val="1"/>
          <w:numId w:val="17"/>
        </w:numPr>
      </w:pPr>
      <w:r w:rsidRPr="002352A4">
        <w:rPr>
          <w:b/>
          <w:bCs/>
        </w:rPr>
        <w:t>Short name</w:t>
      </w:r>
      <w:r w:rsidRPr="002352A4">
        <w:t xml:space="preserve"> (hyperlinked if available)</w:t>
      </w:r>
    </w:p>
    <w:p w14:paraId="262F5359" w14:textId="77777777" w:rsidR="00336A6B" w:rsidRPr="002352A4" w:rsidRDefault="00336A6B" w:rsidP="00336A6B">
      <w:pPr>
        <w:pStyle w:val="Odstavecseseznamem"/>
        <w:numPr>
          <w:ilvl w:val="1"/>
          <w:numId w:val="17"/>
        </w:numPr>
      </w:pPr>
      <w:r w:rsidRPr="002352A4">
        <w:rPr>
          <w:b/>
          <w:bCs/>
        </w:rPr>
        <w:t>Brief description</w:t>
      </w:r>
      <w:r w:rsidRPr="002352A4">
        <w:t xml:space="preserve"> outlining the document’s role or content</w:t>
      </w:r>
    </w:p>
    <w:p w14:paraId="2D4906D1" w14:textId="4D220A12" w:rsidR="008A6F52" w:rsidRPr="002352A4" w:rsidRDefault="008A6F52" w:rsidP="008A6F52">
      <w:pPr>
        <w:pStyle w:val="Nadpis2"/>
      </w:pPr>
      <w:bookmarkStart w:id="1" w:name="_Hlk200657829"/>
      <w:r w:rsidRPr="002352A4">
        <w:t>Naming Convention</w:t>
      </w:r>
    </w:p>
    <w:p w14:paraId="65974A8D" w14:textId="168B4897" w:rsidR="008A6F52" w:rsidRPr="002352A4" w:rsidRDefault="008A6F52" w:rsidP="008A6F52">
      <w:r w:rsidRPr="002352A4">
        <w:t xml:space="preserve">Specification </w:t>
      </w:r>
      <w:r w:rsidR="00CC535A" w:rsidRPr="002352A4">
        <w:t xml:space="preserve">names </w:t>
      </w:r>
      <w:r w:rsidRPr="002352A4">
        <w:t>follow this format:</w:t>
      </w:r>
    </w:p>
    <w:p w14:paraId="78140020" w14:textId="48965616" w:rsidR="008A6F52" w:rsidRPr="002352A4" w:rsidRDefault="008A6F52">
      <w:pPr>
        <w:pStyle w:val="Odstavecseseznamem"/>
        <w:numPr>
          <w:ilvl w:val="0"/>
          <w:numId w:val="7"/>
        </w:numPr>
      </w:pPr>
      <w:r w:rsidRPr="002352A4">
        <w:rPr>
          <w:b/>
          <w:bCs/>
        </w:rPr>
        <w:t>Prefix</w:t>
      </w:r>
      <w:r w:rsidRPr="002352A4">
        <w:t>: L (Legal), S (Standard), R (Recommendation), KPI, P (Profile)</w:t>
      </w:r>
    </w:p>
    <w:p w14:paraId="3255C3F6" w14:textId="77777777" w:rsidR="008A6F52" w:rsidRPr="002352A4" w:rsidRDefault="008A6F52">
      <w:pPr>
        <w:pStyle w:val="Odstavecseseznamem"/>
        <w:numPr>
          <w:ilvl w:val="0"/>
          <w:numId w:val="7"/>
        </w:numPr>
      </w:pPr>
      <w:r w:rsidRPr="002352A4">
        <w:rPr>
          <w:b/>
          <w:bCs/>
        </w:rPr>
        <w:t>Document number or version</w:t>
      </w:r>
      <w:r w:rsidRPr="002352A4">
        <w:t>: e.g. L1, S_CEN14589</w:t>
      </w:r>
    </w:p>
    <w:p w14:paraId="1F4B836B" w14:textId="77777777" w:rsidR="008A6F52" w:rsidRPr="002352A4" w:rsidRDefault="008A6F52">
      <w:pPr>
        <w:pStyle w:val="Odstavecseseznamem"/>
        <w:numPr>
          <w:ilvl w:val="0"/>
          <w:numId w:val="7"/>
        </w:numPr>
      </w:pPr>
      <w:r w:rsidRPr="002352A4">
        <w:rPr>
          <w:b/>
          <w:bCs/>
        </w:rPr>
        <w:t>Descriptive label</w:t>
      </w:r>
      <w:r w:rsidRPr="002352A4">
        <w:t>: e.g. "ITS Directive" or "Traffic Info Standard"</w:t>
      </w:r>
    </w:p>
    <w:p w14:paraId="75E92561" w14:textId="5C107E43" w:rsidR="00C43B21" w:rsidRPr="002352A4" w:rsidRDefault="00C43B21" w:rsidP="00C43B21">
      <w:pPr>
        <w:rPr>
          <w:i/>
          <w:iCs/>
        </w:rPr>
      </w:pPr>
      <w:r w:rsidRPr="002352A4">
        <w:t xml:space="preserve">Example: </w:t>
      </w:r>
      <w:r w:rsidRPr="002352A4">
        <w:rPr>
          <w:i/>
          <w:iCs/>
        </w:rPr>
        <w:t>L8 Directive (EU) 2023/2661 - ITS (recast)</w:t>
      </w:r>
    </w:p>
    <w:p w14:paraId="542C2ABB" w14:textId="7FF9CC61" w:rsidR="00C43B21" w:rsidRPr="002352A4" w:rsidRDefault="00C43B21" w:rsidP="00C43B21">
      <w:r w:rsidRPr="002352A4">
        <w:rPr>
          <w:b/>
          <w:bCs/>
        </w:rPr>
        <w:t>Important rule</w:t>
      </w:r>
      <w:r w:rsidRPr="002352A4">
        <w:t xml:space="preserve">: </w:t>
      </w:r>
      <w:r w:rsidR="007A1611" w:rsidRPr="002352A4">
        <w:t>A</w:t>
      </w:r>
      <w:r w:rsidRPr="002352A4">
        <w:t xml:space="preserve">ssigning the prefix and number (e.g. L1, </w:t>
      </w:r>
      <w:r w:rsidR="007A1611" w:rsidRPr="002352A4">
        <w:t xml:space="preserve">KPI 1.3) is important ONLY for the identification of Requirements, the naming convention of requirements rely on these prefixes. </w:t>
      </w:r>
      <w:proofErr w:type="gramStart"/>
      <w:r w:rsidR="00164385" w:rsidRPr="002352A4">
        <w:t>So</w:t>
      </w:r>
      <w:proofErr w:type="gramEnd"/>
      <w:r w:rsidR="00164385" w:rsidRPr="002352A4">
        <w:t xml:space="preserve"> the numbering is arbitrary and does not carry any meaning.</w:t>
      </w:r>
    </w:p>
    <w:bookmarkEnd w:id="1"/>
    <w:p w14:paraId="2EFD6B8D" w14:textId="07AAA5AC" w:rsidR="008A6F52" w:rsidRPr="002352A4" w:rsidRDefault="008A6F52" w:rsidP="008A6F52">
      <w:pPr>
        <w:pStyle w:val="Nadpis2"/>
      </w:pPr>
      <w:r w:rsidRPr="002352A4">
        <w:t>Compaction Rule</w:t>
      </w:r>
    </w:p>
    <w:p w14:paraId="4B13C53B" w14:textId="77777777" w:rsidR="008A6F52" w:rsidRPr="002352A4" w:rsidRDefault="008A6F52" w:rsidP="008A6F52">
      <w:r w:rsidRPr="002352A4">
        <w:t>Model only one Specification object per series or legislative act, regardless of the number of parts. For instance, the DATEX II suite is represented by a single object.</w:t>
      </w:r>
    </w:p>
    <w:p w14:paraId="50824D70" w14:textId="1A68E60D" w:rsidR="008A6F52" w:rsidRPr="002352A4" w:rsidRDefault="008A6F52" w:rsidP="008A6F52">
      <w:pPr>
        <w:pStyle w:val="Nadpis2"/>
      </w:pPr>
      <w:r w:rsidRPr="002352A4">
        <w:t>Linking &amp; Hierarchy</w:t>
      </w:r>
    </w:p>
    <w:p w14:paraId="31E195D5" w14:textId="77777777" w:rsidR="008A6F52" w:rsidRPr="002352A4" w:rsidRDefault="008A6F52" w:rsidP="008A6F52">
      <w:r w:rsidRPr="002352A4">
        <w:t>Specifications are arranged in this hierarchy (when applicable):</w:t>
      </w:r>
    </w:p>
    <w:p w14:paraId="363DE58B" w14:textId="77777777" w:rsidR="008A6F52" w:rsidRPr="002352A4" w:rsidRDefault="008A6F52">
      <w:pPr>
        <w:pStyle w:val="Odstavecseseznamem"/>
        <w:numPr>
          <w:ilvl w:val="0"/>
          <w:numId w:val="9"/>
        </w:numPr>
      </w:pPr>
      <w:r w:rsidRPr="002352A4">
        <w:t>Directive → Delegated Regulation → Standard → Profile</w:t>
      </w:r>
    </w:p>
    <w:p w14:paraId="7F9BE52D" w14:textId="77777777" w:rsidR="008A6F52" w:rsidRPr="002352A4" w:rsidRDefault="008A6F52" w:rsidP="008A6F52">
      <w:r w:rsidRPr="002352A4">
        <w:rPr>
          <w:b/>
          <w:bCs/>
        </w:rPr>
        <w:t>Connectors:</w:t>
      </w:r>
    </w:p>
    <w:p w14:paraId="1AB3EDD4" w14:textId="77777777" w:rsidR="008A6F52" w:rsidRPr="002352A4" w:rsidRDefault="008A6F52">
      <w:pPr>
        <w:pStyle w:val="Odstavecseseznamem"/>
        <w:numPr>
          <w:ilvl w:val="0"/>
          <w:numId w:val="8"/>
        </w:numPr>
      </w:pPr>
      <w:r w:rsidRPr="002352A4">
        <w:rPr>
          <w:b/>
          <w:bCs/>
        </w:rPr>
        <w:t>Realization</w:t>
      </w:r>
      <w:r w:rsidRPr="002352A4">
        <w:t>: from Regulation to its Directive</w:t>
      </w:r>
    </w:p>
    <w:p w14:paraId="03B7A8DF" w14:textId="77777777" w:rsidR="008A6F52" w:rsidRPr="002352A4" w:rsidRDefault="008A6F52">
      <w:pPr>
        <w:pStyle w:val="Odstavecseseznamem"/>
        <w:numPr>
          <w:ilvl w:val="0"/>
          <w:numId w:val="8"/>
        </w:numPr>
      </w:pPr>
      <w:r w:rsidRPr="002352A4">
        <w:rPr>
          <w:b/>
          <w:bCs/>
        </w:rPr>
        <w:t>Usage</w:t>
      </w:r>
      <w:r w:rsidRPr="002352A4">
        <w:t>: from Standard to the Regulation it implements</w:t>
      </w:r>
    </w:p>
    <w:p w14:paraId="37D63819" w14:textId="2FD7F6AA" w:rsidR="008A6F52" w:rsidRPr="002352A4" w:rsidRDefault="008A6F52">
      <w:pPr>
        <w:pStyle w:val="Odstavecseseznamem"/>
        <w:numPr>
          <w:ilvl w:val="0"/>
          <w:numId w:val="8"/>
        </w:numPr>
      </w:pPr>
      <w:r w:rsidRPr="002352A4">
        <w:rPr>
          <w:b/>
          <w:bCs/>
        </w:rPr>
        <w:t>Usage</w:t>
      </w:r>
      <w:r w:rsidRPr="002352A4">
        <w:t>: from Profile to the Standard, it extends</w:t>
      </w:r>
    </w:p>
    <w:p w14:paraId="0D361C9F" w14:textId="284ACB25" w:rsidR="00336A6B" w:rsidRPr="002352A4" w:rsidRDefault="00336A6B">
      <w:pPr>
        <w:pStyle w:val="Odstavecseseznamem"/>
        <w:numPr>
          <w:ilvl w:val="0"/>
          <w:numId w:val="8"/>
        </w:numPr>
      </w:pPr>
      <w:r w:rsidRPr="002352A4">
        <w:rPr>
          <w:b/>
          <w:bCs/>
        </w:rPr>
        <w:t>Substitution</w:t>
      </w:r>
      <w:r w:rsidRPr="002352A4">
        <w:t>: from new Specification to repealed Specification</w:t>
      </w:r>
    </w:p>
    <w:p w14:paraId="40C09F5B" w14:textId="38AE3782" w:rsidR="008A6F52" w:rsidRPr="002352A4" w:rsidRDefault="008A6F52" w:rsidP="008A6F52">
      <w:r w:rsidRPr="002352A4">
        <w:rPr>
          <w:noProof/>
        </w:rPr>
        <w:lastRenderedPageBreak/>
        <w:drawing>
          <wp:inline distT="0" distB="0" distL="0" distR="0" wp14:anchorId="0E943AB7" wp14:editId="297BBD6E">
            <wp:extent cx="5760720" cy="3287395"/>
            <wp:effectExtent l="0" t="0" r="0" b="8255"/>
            <wp:docPr id="946374706" name="Obrázek 1" descr="Obsah obrázku text, snímek obrazovky, diagram, řada/pruh&#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74706" name="Obrázek 1" descr="Obsah obrázku text, snímek obrazovky, diagram, řada/pruh&#10;&#10;Obsah generovaný pomocí AI může být nesprávný."/>
                    <pic:cNvPicPr/>
                  </pic:nvPicPr>
                  <pic:blipFill>
                    <a:blip r:embed="rId10"/>
                    <a:stretch>
                      <a:fillRect/>
                    </a:stretch>
                  </pic:blipFill>
                  <pic:spPr>
                    <a:xfrm>
                      <a:off x="0" y="0"/>
                      <a:ext cx="5760720" cy="3287395"/>
                    </a:xfrm>
                    <a:prstGeom prst="rect">
                      <a:avLst/>
                    </a:prstGeom>
                  </pic:spPr>
                </pic:pic>
              </a:graphicData>
            </a:graphic>
          </wp:inline>
        </w:drawing>
      </w:r>
    </w:p>
    <w:p w14:paraId="3032DCB1" w14:textId="7BC146A8" w:rsidR="008A6F52" w:rsidRPr="002352A4" w:rsidRDefault="008A6F52" w:rsidP="008A6F52">
      <w:r w:rsidRPr="002352A4">
        <w:t xml:space="preserve">&gt; Direct connections to NRA architecture objects are </w:t>
      </w:r>
      <w:r w:rsidRPr="002352A4">
        <w:rPr>
          <w:i/>
          <w:iCs/>
        </w:rPr>
        <w:t>not</w:t>
      </w:r>
      <w:r w:rsidRPr="002352A4">
        <w:t xml:space="preserve"> used—those are managed via Requirements (see Guideline 3)</w:t>
      </w:r>
    </w:p>
    <w:p w14:paraId="461C15BE" w14:textId="7DB2F23E" w:rsidR="00F96B93" w:rsidRPr="002352A4" w:rsidRDefault="00336A6B" w:rsidP="00F96B93">
      <w:pPr>
        <w:pStyle w:val="Nadpis1"/>
      </w:pPr>
      <w:r w:rsidRPr="002352A4">
        <w:t>Working with</w:t>
      </w:r>
      <w:r w:rsidR="00F96B93" w:rsidRPr="002352A4">
        <w:t xml:space="preserve"> Requirements </w:t>
      </w:r>
    </w:p>
    <w:p w14:paraId="3E7B02B3" w14:textId="77777777" w:rsidR="00F96B93" w:rsidRPr="002352A4" w:rsidRDefault="00F96B93" w:rsidP="00F96B93">
      <w:pPr>
        <w:rPr>
          <w:b/>
          <w:bCs/>
        </w:rPr>
      </w:pPr>
      <w:r w:rsidRPr="002352A4">
        <w:t xml:space="preserve">Some Specifications result in Requirements that articulate enforceable architectural constraints. </w:t>
      </w:r>
      <w:r w:rsidRPr="002352A4">
        <w:rPr>
          <w:b/>
          <w:bCs/>
        </w:rPr>
        <w:t xml:space="preserve">See the Requirement guideline </w:t>
      </w:r>
      <w:r w:rsidRPr="002352A4">
        <w:t>for:</w:t>
      </w:r>
    </w:p>
    <w:p w14:paraId="10235D5B" w14:textId="77777777" w:rsidR="00F96B93" w:rsidRPr="002352A4" w:rsidRDefault="00F96B93">
      <w:pPr>
        <w:pStyle w:val="Odstavecseseznamem"/>
        <w:numPr>
          <w:ilvl w:val="0"/>
          <w:numId w:val="14"/>
        </w:numPr>
      </w:pPr>
      <w:r w:rsidRPr="002352A4">
        <w:t>Creating Requirements</w:t>
      </w:r>
    </w:p>
    <w:p w14:paraId="37C114BF" w14:textId="77777777" w:rsidR="00F96B93" w:rsidRPr="002352A4" w:rsidRDefault="00F96B93">
      <w:pPr>
        <w:pStyle w:val="Odstavecseseznamem"/>
        <w:numPr>
          <w:ilvl w:val="0"/>
          <w:numId w:val="14"/>
        </w:numPr>
      </w:pPr>
      <w:r w:rsidRPr="002352A4">
        <w:t>Moving requirement in the model</w:t>
      </w:r>
    </w:p>
    <w:p w14:paraId="0545AF11" w14:textId="77777777" w:rsidR="00F96B93" w:rsidRPr="002352A4" w:rsidRDefault="00F96B93">
      <w:pPr>
        <w:pStyle w:val="Odstavecseseznamem"/>
        <w:numPr>
          <w:ilvl w:val="0"/>
          <w:numId w:val="14"/>
        </w:numPr>
      </w:pPr>
      <w:r w:rsidRPr="002352A4">
        <w:t>Mapping and Linking Requirements to NRA Objects</w:t>
      </w:r>
    </w:p>
    <w:p w14:paraId="1D19F8BD" w14:textId="127116D6" w:rsidR="00336A6B" w:rsidRPr="002352A4" w:rsidRDefault="00336A6B" w:rsidP="00336A6B">
      <w:r w:rsidRPr="002352A4">
        <w:rPr>
          <w:b/>
          <w:bCs/>
        </w:rPr>
        <w:t>Important rule</w:t>
      </w:r>
      <w:r w:rsidRPr="002352A4">
        <w:t xml:space="preserve">: If the Specification does not yield any </w:t>
      </w:r>
      <w:proofErr w:type="gramStart"/>
      <w:r w:rsidRPr="002352A4">
        <w:t>Requirement</w:t>
      </w:r>
      <w:proofErr w:type="gramEnd"/>
      <w:r w:rsidRPr="002352A4">
        <w:t xml:space="preserve"> then it shall be linked to a global issue “</w:t>
      </w:r>
      <w:r w:rsidR="00515457" w:rsidRPr="002352A4">
        <w:t>D</w:t>
      </w:r>
      <w:r w:rsidRPr="002352A4">
        <w:t>oes not yield a Requirement”</w:t>
      </w:r>
      <w:r w:rsidR="00E26B64" w:rsidRPr="002352A4">
        <w:t>.</w:t>
      </w:r>
      <w:r w:rsidR="00C43B21" w:rsidRPr="002352A4">
        <w:t xml:space="preserve"> </w:t>
      </w:r>
    </w:p>
    <w:p w14:paraId="6E0FFDE8" w14:textId="338E3DCA" w:rsidR="008A6F52" w:rsidRPr="002352A4" w:rsidRDefault="008A6F52" w:rsidP="008A6F52">
      <w:pPr>
        <w:pStyle w:val="Nadpis1"/>
      </w:pPr>
      <w:r w:rsidRPr="002352A4">
        <w:t>Specification Maintenance and Updates</w:t>
      </w:r>
    </w:p>
    <w:p w14:paraId="768C9248" w14:textId="560CD207" w:rsidR="008A6F52" w:rsidRPr="002352A4" w:rsidRDefault="008A6F52" w:rsidP="008A6F52">
      <w:pPr>
        <w:pStyle w:val="Nadpis2"/>
      </w:pPr>
      <w:r w:rsidRPr="002352A4">
        <w:t>Trigger</w:t>
      </w:r>
    </w:p>
    <w:p w14:paraId="09D4CEAB" w14:textId="77777777" w:rsidR="008A6F52" w:rsidRPr="002352A4" w:rsidRDefault="008A6F52" w:rsidP="008A6F52">
      <w:r w:rsidRPr="002352A4">
        <w:t>Initiated during major updates, or when external specifications are revised.</w:t>
      </w:r>
    </w:p>
    <w:p w14:paraId="440928FF" w14:textId="44E24463" w:rsidR="008A6F52" w:rsidRPr="002352A4" w:rsidRDefault="008A6F52" w:rsidP="008A6F52">
      <w:pPr>
        <w:pStyle w:val="Nadpis2"/>
      </w:pPr>
      <w:r w:rsidRPr="002352A4">
        <w:t>Version Tracking</w:t>
      </w:r>
    </w:p>
    <w:p w14:paraId="2E76A54A" w14:textId="77777777" w:rsidR="008A6F52" w:rsidRPr="002352A4" w:rsidRDefault="008A6F52" w:rsidP="008A6F52">
      <w:r w:rsidRPr="002352A4">
        <w:t xml:space="preserve">Specifications themselves are </w:t>
      </w:r>
      <w:r w:rsidRPr="002352A4">
        <w:rPr>
          <w:b/>
          <w:bCs/>
        </w:rPr>
        <w:t>not versioned</w:t>
      </w:r>
      <w:r w:rsidRPr="002352A4">
        <w:t>. Use related metadata or document references for version awareness.</w:t>
      </w:r>
    </w:p>
    <w:p w14:paraId="18AFDBE1" w14:textId="21D5A58B" w:rsidR="008A6F52" w:rsidRPr="002352A4" w:rsidRDefault="008A6F52" w:rsidP="008A6F52">
      <w:pPr>
        <w:pStyle w:val="Nadpis2"/>
      </w:pPr>
      <w:r w:rsidRPr="002352A4">
        <w:lastRenderedPageBreak/>
        <w:t>Update Procedure</w:t>
      </w:r>
    </w:p>
    <w:p w14:paraId="5EF942CB" w14:textId="77777777" w:rsidR="00C43B21" w:rsidRPr="00C43B21" w:rsidRDefault="00C43B21" w:rsidP="00C43B21">
      <w:r w:rsidRPr="00C43B21">
        <w:t>This procedure outlines how to maintain the specification registry when changes occur, ensuring all links and dependencies remain accurate and up to date.</w:t>
      </w:r>
    </w:p>
    <w:p w14:paraId="1B845744" w14:textId="77777777" w:rsidR="00C43B21" w:rsidRPr="002352A4" w:rsidRDefault="00C43B21" w:rsidP="00C43B21">
      <w:pPr>
        <w:rPr>
          <w:b/>
          <w:bCs/>
        </w:rPr>
      </w:pPr>
      <w:r w:rsidRPr="002352A4">
        <w:rPr>
          <w:rFonts w:ascii="Segoe UI Emoji" w:hAnsi="Segoe UI Emoji" w:cs="Segoe UI Emoji"/>
          <w:b/>
          <w:bCs/>
        </w:rPr>
        <w:t>📌</w:t>
      </w:r>
      <w:r w:rsidRPr="002352A4">
        <w:rPr>
          <w:b/>
          <w:bCs/>
        </w:rPr>
        <w:t xml:space="preserve"> When an Existing Specification Is Updated</w:t>
      </w:r>
    </w:p>
    <w:p w14:paraId="3F14864C" w14:textId="77777777" w:rsidR="00C43B21" w:rsidRPr="002352A4" w:rsidRDefault="00C43B21" w:rsidP="00C43B21">
      <w:pPr>
        <w:pStyle w:val="Odstavecseseznamem"/>
        <w:numPr>
          <w:ilvl w:val="0"/>
          <w:numId w:val="22"/>
        </w:numPr>
      </w:pPr>
      <w:r w:rsidRPr="002352A4">
        <w:rPr>
          <w:b/>
          <w:bCs/>
        </w:rPr>
        <w:t>Review</w:t>
      </w:r>
      <w:r w:rsidRPr="002352A4">
        <w:t xml:space="preserve"> the content of the updated specification.</w:t>
      </w:r>
    </w:p>
    <w:p w14:paraId="1170ED1A" w14:textId="77777777" w:rsidR="00C43B21" w:rsidRPr="002352A4" w:rsidRDefault="00C43B21" w:rsidP="00C43B21">
      <w:pPr>
        <w:pStyle w:val="Odstavecseseznamem"/>
        <w:numPr>
          <w:ilvl w:val="0"/>
          <w:numId w:val="22"/>
        </w:numPr>
      </w:pPr>
      <w:r w:rsidRPr="002352A4">
        <w:rPr>
          <w:b/>
          <w:bCs/>
        </w:rPr>
        <w:t>Update</w:t>
      </w:r>
      <w:r w:rsidRPr="002352A4">
        <w:t xml:space="preserve"> the metadata and description fields to reflect the changes.</w:t>
      </w:r>
    </w:p>
    <w:p w14:paraId="3444A99B" w14:textId="77777777" w:rsidR="00C43B21" w:rsidRPr="002352A4" w:rsidRDefault="00C43B21" w:rsidP="00C43B21">
      <w:pPr>
        <w:pStyle w:val="Odstavecseseznamem"/>
        <w:numPr>
          <w:ilvl w:val="0"/>
          <w:numId w:val="22"/>
        </w:numPr>
      </w:pPr>
      <w:r w:rsidRPr="002352A4">
        <w:rPr>
          <w:b/>
          <w:bCs/>
        </w:rPr>
        <w:t>Verify all linked Requirements and Issues</w:t>
      </w:r>
      <w:r w:rsidRPr="002352A4">
        <w:t>:</w:t>
      </w:r>
    </w:p>
    <w:p w14:paraId="492B6AC3" w14:textId="77777777" w:rsidR="00C43B21" w:rsidRPr="002352A4" w:rsidRDefault="00C43B21" w:rsidP="00C43B21">
      <w:pPr>
        <w:pStyle w:val="Odstavecseseznamem"/>
        <w:numPr>
          <w:ilvl w:val="1"/>
          <w:numId w:val="22"/>
        </w:numPr>
      </w:pPr>
      <w:r w:rsidRPr="002352A4">
        <w:rPr>
          <w:b/>
          <w:bCs/>
        </w:rPr>
        <w:t>Revise</w:t>
      </w:r>
      <w:r w:rsidRPr="002352A4">
        <w:t xml:space="preserve"> or </w:t>
      </w:r>
      <w:r w:rsidRPr="002352A4">
        <w:rPr>
          <w:b/>
          <w:bCs/>
        </w:rPr>
        <w:t>retire</w:t>
      </w:r>
      <w:r w:rsidRPr="002352A4">
        <w:t xml:space="preserve"> Requirements that are no longer valid.</w:t>
      </w:r>
    </w:p>
    <w:p w14:paraId="21AB914F" w14:textId="77777777" w:rsidR="00C43B21" w:rsidRPr="002352A4" w:rsidRDefault="00C43B21" w:rsidP="00C43B21">
      <w:pPr>
        <w:pStyle w:val="Odstavecseseznamem"/>
        <w:numPr>
          <w:ilvl w:val="1"/>
          <w:numId w:val="22"/>
        </w:numPr>
      </w:pPr>
      <w:r w:rsidRPr="002352A4">
        <w:rPr>
          <w:b/>
          <w:bCs/>
        </w:rPr>
        <w:t>Remap</w:t>
      </w:r>
      <w:r w:rsidRPr="002352A4">
        <w:t xml:space="preserve"> or </w:t>
      </w:r>
      <w:proofErr w:type="spellStart"/>
      <w:r w:rsidRPr="002352A4">
        <w:rPr>
          <w:b/>
          <w:bCs/>
        </w:rPr>
        <w:t>unmap</w:t>
      </w:r>
      <w:proofErr w:type="spellEnd"/>
      <w:r w:rsidRPr="002352A4">
        <w:t xml:space="preserve"> impacted NRA components accordingly.</w:t>
      </w:r>
    </w:p>
    <w:p w14:paraId="4DF24EB4" w14:textId="77777777" w:rsidR="00C43B21" w:rsidRPr="002352A4" w:rsidRDefault="00C43B21" w:rsidP="00C43B21">
      <w:pPr>
        <w:rPr>
          <w:b/>
          <w:bCs/>
        </w:rPr>
      </w:pPr>
      <w:r w:rsidRPr="002352A4">
        <w:rPr>
          <w:rFonts w:ascii="Segoe UI Symbol" w:hAnsi="Segoe UI Symbol" w:cs="Segoe UI Symbol"/>
          <w:b/>
          <w:bCs/>
        </w:rPr>
        <w:t>🗂</w:t>
      </w:r>
      <w:r w:rsidRPr="002352A4">
        <w:rPr>
          <w:b/>
          <w:bCs/>
        </w:rPr>
        <w:t xml:space="preserve"> When a Specification Is Deprecated</w:t>
      </w:r>
    </w:p>
    <w:p w14:paraId="63C22269" w14:textId="77777777" w:rsidR="00C43B21" w:rsidRPr="002352A4" w:rsidRDefault="00C43B21" w:rsidP="00C43B21">
      <w:pPr>
        <w:pStyle w:val="Odstavecseseznamem"/>
        <w:numPr>
          <w:ilvl w:val="0"/>
          <w:numId w:val="22"/>
        </w:numPr>
      </w:pPr>
      <w:r w:rsidRPr="002352A4">
        <w:rPr>
          <w:b/>
          <w:bCs/>
        </w:rPr>
        <w:t>Move</w:t>
      </w:r>
      <w:r w:rsidRPr="002352A4">
        <w:t xml:space="preserve"> the deprecated specification to the </w:t>
      </w:r>
      <w:r w:rsidRPr="002352A4">
        <w:rPr>
          <w:i/>
          <w:iCs/>
        </w:rPr>
        <w:t>Superseded</w:t>
      </w:r>
      <w:r w:rsidRPr="002352A4">
        <w:t xml:space="preserve"> folder.</w:t>
      </w:r>
    </w:p>
    <w:p w14:paraId="29AEF9E0" w14:textId="77777777" w:rsidR="00C43B21" w:rsidRPr="002352A4" w:rsidRDefault="00C43B21" w:rsidP="00C43B21">
      <w:pPr>
        <w:pStyle w:val="Odstavecseseznamem"/>
        <w:numPr>
          <w:ilvl w:val="0"/>
          <w:numId w:val="22"/>
        </w:numPr>
      </w:pPr>
      <w:r w:rsidRPr="002352A4">
        <w:rPr>
          <w:b/>
          <w:bCs/>
        </w:rPr>
        <w:t>Relink downstream Requirements and NRA mappings</w:t>
      </w:r>
      <w:r w:rsidRPr="002352A4">
        <w:t xml:space="preserve"> to the replacement Specification.</w:t>
      </w:r>
    </w:p>
    <w:p w14:paraId="38B4D726" w14:textId="77777777" w:rsidR="00C43B21" w:rsidRPr="002352A4" w:rsidRDefault="00C43B21" w:rsidP="00C43B21">
      <w:pPr>
        <w:pStyle w:val="Odstavecseseznamem"/>
        <w:numPr>
          <w:ilvl w:val="1"/>
          <w:numId w:val="22"/>
        </w:numPr>
      </w:pPr>
      <w:r w:rsidRPr="002352A4">
        <w:t>If no direct replacement exists:</w:t>
      </w:r>
    </w:p>
    <w:p w14:paraId="0CAE9F4E" w14:textId="77777777" w:rsidR="00C43B21" w:rsidRPr="002352A4" w:rsidRDefault="00C43B21" w:rsidP="00C43B21">
      <w:pPr>
        <w:pStyle w:val="Odstavecseseznamem"/>
        <w:numPr>
          <w:ilvl w:val="2"/>
          <w:numId w:val="22"/>
        </w:numPr>
      </w:pPr>
      <w:r w:rsidRPr="002352A4">
        <w:rPr>
          <w:b/>
          <w:bCs/>
        </w:rPr>
        <w:t>Assess</w:t>
      </w:r>
      <w:r w:rsidRPr="002352A4">
        <w:t xml:space="preserve"> each Requirement and mapping:</w:t>
      </w:r>
    </w:p>
    <w:p w14:paraId="2222264A" w14:textId="77777777" w:rsidR="00C43B21" w:rsidRPr="002352A4" w:rsidRDefault="00C43B21" w:rsidP="00C43B21">
      <w:pPr>
        <w:pStyle w:val="Odstavecseseznamem"/>
        <w:numPr>
          <w:ilvl w:val="3"/>
          <w:numId w:val="22"/>
        </w:numPr>
      </w:pPr>
      <w:r w:rsidRPr="002352A4">
        <w:t>Can it be mapped to a different specification?</w:t>
      </w:r>
    </w:p>
    <w:p w14:paraId="1323AC25" w14:textId="77777777" w:rsidR="00C43B21" w:rsidRPr="002352A4" w:rsidRDefault="00C43B21" w:rsidP="00C43B21">
      <w:pPr>
        <w:pStyle w:val="Odstavecseseznamem"/>
        <w:numPr>
          <w:ilvl w:val="3"/>
          <w:numId w:val="22"/>
        </w:numPr>
      </w:pPr>
      <w:r w:rsidRPr="002352A4">
        <w:t>Is it now redundant due to other existing Requirements?</w:t>
      </w:r>
    </w:p>
    <w:p w14:paraId="5A8FB0F3" w14:textId="77777777" w:rsidR="00C43B21" w:rsidRPr="002352A4" w:rsidRDefault="00C43B21" w:rsidP="00C43B21">
      <w:pPr>
        <w:pStyle w:val="Odstavecseseznamem"/>
        <w:numPr>
          <w:ilvl w:val="3"/>
          <w:numId w:val="22"/>
        </w:numPr>
      </w:pPr>
      <w:r w:rsidRPr="002352A4">
        <w:t xml:space="preserve">If not, create an empty placeholder object titled </w:t>
      </w:r>
      <w:r w:rsidRPr="002352A4">
        <w:rPr>
          <w:b/>
          <w:bCs/>
        </w:rPr>
        <w:t>“Generic Specification”</w:t>
      </w:r>
      <w:r w:rsidRPr="002352A4">
        <w:t xml:space="preserve"> and map the Requirement there.</w:t>
      </w:r>
    </w:p>
    <w:p w14:paraId="55844C3E" w14:textId="77777777" w:rsidR="00C43B21" w:rsidRPr="002352A4" w:rsidRDefault="00C43B21" w:rsidP="00C43B21">
      <w:pPr>
        <w:pStyle w:val="Odstavecseseznamem"/>
        <w:numPr>
          <w:ilvl w:val="0"/>
          <w:numId w:val="22"/>
        </w:numPr>
      </w:pPr>
      <w:r w:rsidRPr="002352A4">
        <w:rPr>
          <w:b/>
          <w:bCs/>
        </w:rPr>
        <w:t>Create a trace link</w:t>
      </w:r>
      <w:r w:rsidRPr="002352A4">
        <w:t xml:space="preserve"> to any Specification that supersedes or replaces the deprecated one.</w:t>
      </w:r>
    </w:p>
    <w:p w14:paraId="4F6DCAED" w14:textId="77777777" w:rsidR="00C43B21" w:rsidRPr="002352A4" w:rsidRDefault="00C43B21" w:rsidP="00C43B21">
      <w:pPr>
        <w:rPr>
          <w:b/>
          <w:bCs/>
        </w:rPr>
      </w:pPr>
      <w:r w:rsidRPr="002352A4">
        <w:rPr>
          <w:rFonts w:ascii="Segoe UI Emoji" w:hAnsi="Segoe UI Emoji" w:cs="Segoe UI Emoji"/>
          <w:b/>
          <w:bCs/>
        </w:rPr>
        <w:t>➕</w:t>
      </w:r>
      <w:r w:rsidRPr="002352A4">
        <w:rPr>
          <w:b/>
          <w:bCs/>
        </w:rPr>
        <w:t xml:space="preserve"> When a New Specification Becomes Relevant</w:t>
      </w:r>
    </w:p>
    <w:p w14:paraId="420ECF39" w14:textId="77777777" w:rsidR="00C43B21" w:rsidRPr="002352A4" w:rsidRDefault="00C43B21" w:rsidP="00C43B21">
      <w:pPr>
        <w:pStyle w:val="Odstavecseseznamem"/>
        <w:numPr>
          <w:ilvl w:val="0"/>
          <w:numId w:val="22"/>
        </w:numPr>
      </w:pPr>
      <w:r w:rsidRPr="002352A4">
        <w:rPr>
          <w:b/>
          <w:bCs/>
        </w:rPr>
        <w:t>Add</w:t>
      </w:r>
      <w:r w:rsidRPr="002352A4">
        <w:t xml:space="preserve"> the Specification to the appropriate domain-specific subfolder.</w:t>
      </w:r>
    </w:p>
    <w:p w14:paraId="4D30917A" w14:textId="77777777" w:rsidR="00C43B21" w:rsidRPr="002352A4" w:rsidRDefault="00C43B21" w:rsidP="00C43B21">
      <w:pPr>
        <w:pStyle w:val="Odstavecseseznamem"/>
        <w:numPr>
          <w:ilvl w:val="0"/>
          <w:numId w:val="22"/>
        </w:numPr>
      </w:pPr>
      <w:r w:rsidRPr="002352A4">
        <w:rPr>
          <w:b/>
          <w:bCs/>
        </w:rPr>
        <w:t xml:space="preserve">Apply </w:t>
      </w:r>
      <w:proofErr w:type="spellStart"/>
      <w:r w:rsidRPr="002352A4">
        <w:rPr>
          <w:b/>
          <w:bCs/>
        </w:rPr>
        <w:t>modeling</w:t>
      </w:r>
      <w:proofErr w:type="spellEnd"/>
      <w:r w:rsidRPr="002352A4">
        <w:rPr>
          <w:b/>
          <w:bCs/>
        </w:rPr>
        <w:t xml:space="preserve"> rules</w:t>
      </w:r>
      <w:r w:rsidRPr="002352A4">
        <w:t xml:space="preserve"> outlined in Sections 4–5.</w:t>
      </w:r>
    </w:p>
    <w:p w14:paraId="5B49D201" w14:textId="77777777" w:rsidR="00C43B21" w:rsidRPr="002352A4" w:rsidRDefault="00C43B21" w:rsidP="00C43B21">
      <w:pPr>
        <w:pStyle w:val="Odstavecseseznamem"/>
        <w:numPr>
          <w:ilvl w:val="0"/>
          <w:numId w:val="22"/>
        </w:numPr>
      </w:pPr>
      <w:r w:rsidRPr="002352A4">
        <w:rPr>
          <w:b/>
          <w:bCs/>
        </w:rPr>
        <w:t>Derive and link Requirements</w:t>
      </w:r>
      <w:r w:rsidRPr="002352A4">
        <w:t xml:space="preserve"> based on the Specification’s content and scope.</w:t>
      </w:r>
    </w:p>
    <w:p w14:paraId="2B737486" w14:textId="77777777" w:rsidR="00E00BFC" w:rsidRPr="002352A4" w:rsidRDefault="00E00BFC" w:rsidP="00461990">
      <w:pPr>
        <w:pStyle w:val="Nadpis1"/>
      </w:pPr>
      <w:bookmarkStart w:id="2" w:name="_Toc188620586"/>
      <w:r w:rsidRPr="002352A4">
        <w:t xml:space="preserve">Specification </w:t>
      </w:r>
      <w:bookmarkEnd w:id="2"/>
      <w:r w:rsidRPr="002352A4">
        <w:t>examples</w:t>
      </w:r>
    </w:p>
    <w:p w14:paraId="074A0051" w14:textId="77777777" w:rsidR="00E00BFC" w:rsidRPr="002352A4" w:rsidRDefault="00E00BFC" w:rsidP="00E00BFC">
      <w:r w:rsidRPr="002352A4">
        <w:t>This structure ensures that each specification is clearly identified, classified, and described, making it easier to reference and understand its context and use.</w:t>
      </w:r>
    </w:p>
    <w:p w14:paraId="3CFAC96A" w14:textId="77777777" w:rsidR="00E00BFC" w:rsidRPr="002352A4" w:rsidRDefault="00E00BFC" w:rsidP="00461990">
      <w:pPr>
        <w:pStyle w:val="Nadpis2"/>
      </w:pPr>
      <w:r w:rsidRPr="002352A4">
        <w:t>Legal specification</w:t>
      </w:r>
    </w:p>
    <w:p w14:paraId="7C0DC4DD" w14:textId="5C36CD51" w:rsidR="00E00BFC" w:rsidRPr="002352A4" w:rsidRDefault="00E82BC2" w:rsidP="00461990">
      <w:pPr>
        <w:pStyle w:val="Nadpis3"/>
      </w:pPr>
      <w:r w:rsidRPr="002352A4">
        <w:t>RTTI</w:t>
      </w:r>
      <w:r w:rsidR="00E00BFC" w:rsidRPr="002352A4">
        <w:t xml:space="preserve"> Delegated regulation</w:t>
      </w:r>
    </w:p>
    <w:p w14:paraId="7151817F" w14:textId="453AA39B" w:rsidR="00E82BC2" w:rsidRPr="002352A4" w:rsidRDefault="00E82BC2" w:rsidP="00E82BC2">
      <w:pPr>
        <w:rPr>
          <w:bCs/>
        </w:rPr>
      </w:pPr>
      <w:r w:rsidRPr="002352A4">
        <w:rPr>
          <w:b/>
        </w:rPr>
        <w:t xml:space="preserve">Short name: </w:t>
      </w:r>
      <w:r w:rsidRPr="001F047C">
        <w:t>Regulation (EU) 2015/962</w:t>
      </w:r>
      <w:r w:rsidRPr="002352A4">
        <w:t xml:space="preserve"> - RTTI</w:t>
      </w:r>
    </w:p>
    <w:p w14:paraId="505206A6" w14:textId="782CFF77" w:rsidR="00E82BC2" w:rsidRPr="001F047C" w:rsidRDefault="00E82BC2" w:rsidP="00E82BC2">
      <w:r w:rsidRPr="001F047C">
        <w:rPr>
          <w:b/>
        </w:rPr>
        <w:t>Type</w:t>
      </w:r>
      <w:r w:rsidRPr="001F047C">
        <w:t>: Legal</w:t>
      </w:r>
    </w:p>
    <w:p w14:paraId="75D5EA50" w14:textId="77777777" w:rsidR="00E82BC2" w:rsidRPr="001F047C" w:rsidRDefault="00E82BC2" w:rsidP="00E82BC2">
      <w:r w:rsidRPr="001F047C">
        <w:rPr>
          <w:b/>
        </w:rPr>
        <w:lastRenderedPageBreak/>
        <w:t>Full Name:</w:t>
      </w:r>
      <w:r w:rsidRPr="001F047C">
        <w:t xml:space="preserve"> Commission Delegated Regulation (EU) 2015/962 of 18 December 2014 supplementing Directive 2010/40/EU with regard to the provision of EU-wide real-time traffic information services </w:t>
      </w:r>
    </w:p>
    <w:p w14:paraId="2A8B015D" w14:textId="77777777" w:rsidR="00E82BC2" w:rsidRPr="001F047C" w:rsidRDefault="00E82BC2" w:rsidP="00E82BC2">
      <w:r w:rsidRPr="001F047C">
        <w:rPr>
          <w:b/>
        </w:rPr>
        <w:t>Link:</w:t>
      </w:r>
      <w:r w:rsidRPr="001F047C">
        <w:t xml:space="preserve"> </w:t>
      </w:r>
      <w:hyperlink r:id="rId11" w:history="1">
        <w:r w:rsidRPr="001F047C">
          <w:rPr>
            <w:rStyle w:val="Hypertextovodkaz"/>
          </w:rPr>
          <w:t>https://eur-lex.europa.eu/eli/reg_del/2015/962/oj</w:t>
        </w:r>
      </w:hyperlink>
      <w:r w:rsidRPr="001F047C">
        <w:t xml:space="preserve"> </w:t>
      </w:r>
    </w:p>
    <w:p w14:paraId="31C021D4" w14:textId="77777777" w:rsidR="00E82BC2" w:rsidRPr="001F047C" w:rsidRDefault="00E82BC2" w:rsidP="00E82BC2">
      <w:r w:rsidRPr="001F047C">
        <w:rPr>
          <w:b/>
        </w:rPr>
        <w:t>Description:</w:t>
      </w:r>
      <w:r w:rsidRPr="001F047C">
        <w:t xml:space="preserve"> This regulation defined the initial technical specifications for the provision of EU-wide real-time traffic information (RTTI) services under Directive 2010/40/EU. It established requirements for the availability, accessibility, exchange, and re-use of static and dynamic road traffic data. It introduced the concept of a minimum level of service and required Member States to designate National Access Points (NAPs) for data publication. The regulation was repealed with effect from 31 December 2024 and replaced by Regulation (EU) 2022/670, which introduced updated data categories, performance requirements, and alignment with current ITS deployment practices.</w:t>
      </w:r>
    </w:p>
    <w:p w14:paraId="32DEA213" w14:textId="77777777" w:rsidR="00E82BC2" w:rsidRPr="001F047C" w:rsidRDefault="00E82BC2" w:rsidP="00E82BC2">
      <w:r w:rsidRPr="001F047C">
        <w:rPr>
          <w:b/>
        </w:rPr>
        <w:t>Additional details:</w:t>
      </w:r>
      <w:r w:rsidRPr="001F047C">
        <w:t xml:space="preserve"> NAPs were required to provide machine-readable access to RTTI-relevant datasets, including road network attributes, traffic regulations, and real-time traffic status. The regulation mandated metadata publication, data quality assurance, and use of harmonised formats to support cross-border interoperability. It served as the legal foundation for early RTTI deployments and was superseded to reflect evolving data models and service expectations.</w:t>
      </w:r>
    </w:p>
    <w:p w14:paraId="21FC8780" w14:textId="77777777" w:rsidR="00E82BC2" w:rsidRPr="001F047C" w:rsidRDefault="00E82BC2" w:rsidP="00E82BC2">
      <w:r w:rsidRPr="001F047C">
        <w:rPr>
          <w:b/>
        </w:rPr>
        <w:t>Related Documents:</w:t>
      </w:r>
    </w:p>
    <w:p w14:paraId="6FE6EFBF" w14:textId="77777777" w:rsidR="00E82BC2" w:rsidRPr="002352A4" w:rsidRDefault="00E82BC2" w:rsidP="00E82BC2">
      <w:pPr>
        <w:pStyle w:val="Odstavecseseznamem"/>
        <w:numPr>
          <w:ilvl w:val="0"/>
          <w:numId w:val="24"/>
        </w:numPr>
      </w:pPr>
      <w:hyperlink r:id="rId12" w:history="1">
        <w:r w:rsidRPr="002352A4">
          <w:rPr>
            <w:rStyle w:val="Hypertextovodkaz"/>
          </w:rPr>
          <w:t>Regulation (EU) 2022/670</w:t>
        </w:r>
      </w:hyperlink>
      <w:r w:rsidRPr="002352A4">
        <w:t xml:space="preserve"> – Successor regulation introducing revised RTTI specifications.</w:t>
      </w:r>
    </w:p>
    <w:p w14:paraId="09885FB6" w14:textId="77777777" w:rsidR="00E82BC2" w:rsidRPr="002352A4" w:rsidRDefault="00E82BC2" w:rsidP="00E82BC2">
      <w:pPr>
        <w:pStyle w:val="Odstavecseseznamem"/>
        <w:numPr>
          <w:ilvl w:val="0"/>
          <w:numId w:val="24"/>
        </w:numPr>
      </w:pPr>
      <w:hyperlink r:id="rId13" w:history="1">
        <w:r w:rsidRPr="002352A4">
          <w:rPr>
            <w:rStyle w:val="Hypertextovodkaz"/>
          </w:rPr>
          <w:t>European Commission RTTI Guidance</w:t>
        </w:r>
      </w:hyperlink>
      <w:r w:rsidRPr="002352A4">
        <w:t xml:space="preserve"> – Implementation context and technical interpretation.</w:t>
      </w:r>
    </w:p>
    <w:p w14:paraId="4FCC7D31" w14:textId="77777777" w:rsidR="00E82BC2" w:rsidRPr="002352A4" w:rsidRDefault="00E82BC2" w:rsidP="00E82BC2">
      <w:pPr>
        <w:pStyle w:val="Odstavecseseznamem"/>
        <w:numPr>
          <w:ilvl w:val="0"/>
          <w:numId w:val="24"/>
        </w:numPr>
      </w:pPr>
      <w:hyperlink r:id="rId14" w:history="1">
        <w:r w:rsidRPr="002352A4">
          <w:rPr>
            <w:rStyle w:val="Hypertextovodkaz"/>
          </w:rPr>
          <w:t>DATEX II Reference Profile for RTTI</w:t>
        </w:r>
      </w:hyperlink>
      <w:r w:rsidRPr="002352A4">
        <w:t xml:space="preserve"> – Defines the harmonised data model for compliant RTTI data exchange.</w:t>
      </w:r>
    </w:p>
    <w:p w14:paraId="72EBA3DA" w14:textId="77777777" w:rsidR="00E82BC2" w:rsidRPr="002352A4" w:rsidRDefault="00E82BC2" w:rsidP="00E82BC2">
      <w:pPr>
        <w:pStyle w:val="Odstavecseseznamem"/>
        <w:numPr>
          <w:ilvl w:val="0"/>
          <w:numId w:val="24"/>
        </w:numPr>
      </w:pPr>
      <w:hyperlink r:id="rId15" w:history="1">
        <w:r w:rsidRPr="002352A4">
          <w:rPr>
            <w:rStyle w:val="Hypertextovodkaz"/>
          </w:rPr>
          <w:t>NAPCORE RTTI Workstream Summary (PDF)</w:t>
        </w:r>
      </w:hyperlink>
      <w:r w:rsidRPr="002352A4">
        <w:t xml:space="preserve"> – Overview of Member State alignment and implementation under the updated regulation.</w:t>
      </w:r>
    </w:p>
    <w:p w14:paraId="6A703196" w14:textId="77777777" w:rsidR="00E00BFC" w:rsidRPr="002352A4" w:rsidRDefault="00E00BFC" w:rsidP="00461990">
      <w:pPr>
        <w:pStyle w:val="Nadpis2"/>
      </w:pPr>
      <w:bookmarkStart w:id="3" w:name="_Toc188620595"/>
      <w:r w:rsidRPr="002352A4">
        <w:t>Technical standards</w:t>
      </w:r>
    </w:p>
    <w:bookmarkEnd w:id="3"/>
    <w:p w14:paraId="6D2B28BF" w14:textId="111AA47F" w:rsidR="00E00BFC" w:rsidRPr="002352A4" w:rsidRDefault="002352A4" w:rsidP="00461990">
      <w:pPr>
        <w:pStyle w:val="Nadpis3"/>
      </w:pPr>
      <w:r w:rsidRPr="002352A4">
        <w:t>GBFS</w:t>
      </w:r>
    </w:p>
    <w:p w14:paraId="513D8041" w14:textId="3AFC3AEF" w:rsidR="002352A4" w:rsidRPr="002352A4" w:rsidRDefault="00E00BFC" w:rsidP="002352A4">
      <w:r w:rsidRPr="002352A4">
        <w:rPr>
          <w:b/>
          <w:bCs/>
        </w:rPr>
        <w:t>Short name</w:t>
      </w:r>
      <w:r w:rsidRPr="002352A4">
        <w:t xml:space="preserve">: </w:t>
      </w:r>
      <w:bookmarkStart w:id="4" w:name="BKM_B33AF3D7_0DE6_4244_975F_A8E2E508930F"/>
      <w:r w:rsidR="002352A4" w:rsidRPr="002352A4">
        <w:t>General Bikeshare Feed Specification (GBFS)</w:t>
      </w:r>
    </w:p>
    <w:p w14:paraId="7D5E509F" w14:textId="77777777" w:rsidR="002352A4" w:rsidRPr="002352A4" w:rsidRDefault="002352A4" w:rsidP="002352A4">
      <w:pPr>
        <w:rPr>
          <w:bCs/>
        </w:rPr>
      </w:pPr>
      <w:r w:rsidRPr="002352A4">
        <w:rPr>
          <w:b/>
          <w:bCs/>
        </w:rPr>
        <w:t>Type:</w:t>
      </w:r>
      <w:r w:rsidRPr="002352A4">
        <w:rPr>
          <w:bCs/>
        </w:rPr>
        <w:t xml:space="preserve"> Technical Standard </w:t>
      </w:r>
    </w:p>
    <w:p w14:paraId="2647D07C" w14:textId="77777777" w:rsidR="002352A4" w:rsidRPr="002352A4" w:rsidRDefault="002352A4" w:rsidP="002352A4">
      <w:pPr>
        <w:rPr>
          <w:bCs/>
        </w:rPr>
      </w:pPr>
      <w:r w:rsidRPr="002352A4">
        <w:rPr>
          <w:b/>
          <w:bCs/>
        </w:rPr>
        <w:t>Full Name:</w:t>
      </w:r>
      <w:r w:rsidRPr="002352A4">
        <w:rPr>
          <w:bCs/>
        </w:rPr>
        <w:t xml:space="preserve"> General Bikeshare Feed Specification (GBFS) </w:t>
      </w:r>
    </w:p>
    <w:p w14:paraId="2C15EE1A" w14:textId="77777777" w:rsidR="002352A4" w:rsidRPr="002352A4" w:rsidRDefault="002352A4" w:rsidP="002352A4">
      <w:pPr>
        <w:rPr>
          <w:bCs/>
        </w:rPr>
      </w:pPr>
      <w:r w:rsidRPr="002352A4">
        <w:rPr>
          <w:b/>
          <w:bCs/>
        </w:rPr>
        <w:t>Link:</w:t>
      </w:r>
      <w:r w:rsidRPr="002352A4">
        <w:rPr>
          <w:bCs/>
        </w:rPr>
        <w:t xml:space="preserve"> </w:t>
      </w:r>
      <w:hyperlink r:id="rId16" w:history="1">
        <w:r w:rsidRPr="002352A4">
          <w:rPr>
            <w:rStyle w:val="Hypertextovodkaz"/>
            <w:bCs/>
          </w:rPr>
          <w:t>https://www.gbfs.org/</w:t>
        </w:r>
      </w:hyperlink>
      <w:r w:rsidRPr="002352A4">
        <w:rPr>
          <w:bCs/>
        </w:rPr>
        <w:t xml:space="preserve"> </w:t>
      </w:r>
    </w:p>
    <w:p w14:paraId="605C391B" w14:textId="77777777" w:rsidR="002352A4" w:rsidRPr="002352A4" w:rsidRDefault="002352A4" w:rsidP="002352A4">
      <w:pPr>
        <w:rPr>
          <w:bCs/>
        </w:rPr>
      </w:pPr>
      <w:r w:rsidRPr="002352A4">
        <w:rPr>
          <w:b/>
          <w:bCs/>
        </w:rPr>
        <w:t>Description:</w:t>
      </w:r>
      <w:r w:rsidRPr="002352A4">
        <w:rPr>
          <w:bCs/>
        </w:rPr>
        <w:t xml:space="preserve"> GBFS is an open, real-time data standard for shared mobility systems (e.g. bikeshare, scooters, mopeds). It defines a uniform JSON-based structure for publishing </w:t>
      </w:r>
      <w:r w:rsidRPr="002352A4">
        <w:rPr>
          <w:bCs/>
        </w:rPr>
        <w:lastRenderedPageBreak/>
        <w:t>system status, vehicle availability, pricing, and station metadata. GBFS is designed for public consumption by trip planners, mobility apps, and data aggregators. It is read-only and does not support transactional operations.</w:t>
      </w:r>
    </w:p>
    <w:p w14:paraId="4D079C98" w14:textId="77777777" w:rsidR="002352A4" w:rsidRPr="002352A4" w:rsidRDefault="002352A4" w:rsidP="002352A4">
      <w:pPr>
        <w:rPr>
          <w:bCs/>
        </w:rPr>
      </w:pPr>
      <w:r w:rsidRPr="002352A4">
        <w:rPr>
          <w:b/>
          <w:bCs/>
        </w:rPr>
        <w:t>Additional details:</w:t>
      </w:r>
      <w:r w:rsidRPr="002352A4">
        <w:rPr>
          <w:bCs/>
        </w:rPr>
        <w:t xml:space="preserve"> -</w:t>
      </w:r>
    </w:p>
    <w:p w14:paraId="380F609D" w14:textId="77777777" w:rsidR="002352A4" w:rsidRPr="002352A4" w:rsidRDefault="002352A4" w:rsidP="002352A4">
      <w:pPr>
        <w:rPr>
          <w:bCs/>
        </w:rPr>
      </w:pPr>
      <w:r w:rsidRPr="002352A4">
        <w:rPr>
          <w:b/>
          <w:bCs/>
        </w:rPr>
        <w:t>Related Documents:</w:t>
      </w:r>
    </w:p>
    <w:p w14:paraId="40FA485E" w14:textId="77777777" w:rsidR="002352A4" w:rsidRPr="002352A4" w:rsidRDefault="002352A4" w:rsidP="002352A4">
      <w:pPr>
        <w:pStyle w:val="Odstavecseseznamem"/>
        <w:numPr>
          <w:ilvl w:val="0"/>
          <w:numId w:val="28"/>
        </w:numPr>
        <w:rPr>
          <w:bCs/>
        </w:rPr>
      </w:pPr>
      <w:hyperlink r:id="rId17" w:history="1">
        <w:r w:rsidRPr="002352A4">
          <w:rPr>
            <w:rStyle w:val="Hypertextovodkaz"/>
            <w:bCs/>
          </w:rPr>
          <w:t>GBFS GitHub Repository</w:t>
        </w:r>
      </w:hyperlink>
      <w:r w:rsidRPr="002352A4">
        <w:rPr>
          <w:bCs/>
        </w:rPr>
        <w:t xml:space="preserve"> – Specification source, schemas, governance model.</w:t>
      </w:r>
    </w:p>
    <w:p w14:paraId="5CB7161D" w14:textId="77777777" w:rsidR="002352A4" w:rsidRPr="002352A4" w:rsidRDefault="002352A4" w:rsidP="002352A4">
      <w:pPr>
        <w:pStyle w:val="Odstavecseseznamem"/>
        <w:numPr>
          <w:ilvl w:val="0"/>
          <w:numId w:val="28"/>
        </w:numPr>
        <w:rPr>
          <w:bCs/>
        </w:rPr>
      </w:pPr>
      <w:hyperlink r:id="rId18" w:history="1">
        <w:r w:rsidRPr="002352A4">
          <w:rPr>
            <w:rStyle w:val="Hypertextovodkaz"/>
            <w:bCs/>
          </w:rPr>
          <w:t>GBFS v3.0 Specification</w:t>
        </w:r>
      </w:hyperlink>
      <w:r w:rsidRPr="002352A4">
        <w:rPr>
          <w:bCs/>
        </w:rPr>
        <w:t xml:space="preserve"> – Latest stable version with feed definitions and field requirements.</w:t>
      </w:r>
    </w:p>
    <w:p w14:paraId="76D839D0" w14:textId="77777777" w:rsidR="002352A4" w:rsidRPr="002352A4" w:rsidRDefault="002352A4" w:rsidP="002352A4">
      <w:pPr>
        <w:pStyle w:val="Odstavecseseznamem"/>
        <w:numPr>
          <w:ilvl w:val="0"/>
          <w:numId w:val="28"/>
        </w:numPr>
        <w:rPr>
          <w:bCs/>
        </w:rPr>
      </w:pPr>
      <w:r w:rsidRPr="002352A4">
        <w:rPr>
          <w:bCs/>
        </w:rPr>
        <w:t>GBFS Validator Tool – Online tool for schema validation and feed diagnostics.</w:t>
      </w:r>
    </w:p>
    <w:p w14:paraId="602ED440" w14:textId="77777777" w:rsidR="002352A4" w:rsidRPr="002352A4" w:rsidRDefault="002352A4" w:rsidP="002352A4">
      <w:pPr>
        <w:pStyle w:val="Odstavecseseznamem"/>
        <w:numPr>
          <w:ilvl w:val="0"/>
          <w:numId w:val="28"/>
        </w:numPr>
        <w:rPr>
          <w:bCs/>
        </w:rPr>
      </w:pPr>
      <w:hyperlink r:id="rId19" w:history="1">
        <w:r w:rsidRPr="002352A4">
          <w:rPr>
            <w:rStyle w:val="Hypertextovodkaz"/>
            <w:bCs/>
          </w:rPr>
          <w:t xml:space="preserve">GBFS Systems </w:t>
        </w:r>
        <w:proofErr w:type="spellStart"/>
        <w:r w:rsidRPr="002352A4">
          <w:rPr>
            <w:rStyle w:val="Hypertextovodkaz"/>
            <w:bCs/>
          </w:rPr>
          <w:t>Catalog</w:t>
        </w:r>
        <w:proofErr w:type="spellEnd"/>
      </w:hyperlink>
      <w:r w:rsidRPr="002352A4">
        <w:rPr>
          <w:bCs/>
        </w:rPr>
        <w:t xml:space="preserve"> – List of known GBFS-compliant deployments.</w:t>
      </w:r>
    </w:p>
    <w:p w14:paraId="7F918678" w14:textId="77777777" w:rsidR="002352A4" w:rsidRPr="002352A4" w:rsidRDefault="002352A4" w:rsidP="002352A4">
      <w:pPr>
        <w:pStyle w:val="Odstavecseseznamem"/>
        <w:numPr>
          <w:ilvl w:val="0"/>
          <w:numId w:val="28"/>
        </w:numPr>
        <w:rPr>
          <w:bCs/>
        </w:rPr>
      </w:pPr>
      <w:hyperlink r:id="rId20" w:history="1">
        <w:r w:rsidRPr="002352A4">
          <w:rPr>
            <w:bCs/>
            <w:color w:val="467886"/>
            <w:u w:val="single"/>
          </w:rPr>
          <w:t>GBFS website</w:t>
        </w:r>
      </w:hyperlink>
      <w:r w:rsidRPr="002352A4">
        <w:rPr>
          <w:bCs/>
        </w:rPr>
        <w:t>: GBFS specification web site</w:t>
      </w:r>
    </w:p>
    <w:bookmarkEnd w:id="4"/>
    <w:p w14:paraId="57E2186F" w14:textId="77777777" w:rsidR="00E00BFC" w:rsidRPr="002352A4" w:rsidRDefault="00E00BFC" w:rsidP="00461990">
      <w:pPr>
        <w:pStyle w:val="Nadpis2"/>
      </w:pPr>
      <w:r w:rsidRPr="002352A4">
        <w:t>Recommendations</w:t>
      </w:r>
    </w:p>
    <w:p w14:paraId="54D44E31" w14:textId="45827C59" w:rsidR="00325AE0" w:rsidRPr="002352A4" w:rsidRDefault="00325AE0" w:rsidP="00325AE0">
      <w:pPr>
        <w:pStyle w:val="Nadpis3"/>
      </w:pPr>
      <w:r w:rsidRPr="002352A4">
        <w:t>MQA Methodology</w:t>
      </w:r>
    </w:p>
    <w:p w14:paraId="6FC88EE8" w14:textId="5594033B" w:rsidR="00325AE0" w:rsidRPr="002352A4" w:rsidRDefault="00325AE0" w:rsidP="002352A4">
      <w:r w:rsidRPr="002352A4">
        <w:rPr>
          <w:b/>
          <w:bCs/>
        </w:rPr>
        <w:t>Short name</w:t>
      </w:r>
      <w:r w:rsidRPr="002352A4">
        <w:t>: MQA Metadata Quality Assessment Methodology</w:t>
      </w:r>
    </w:p>
    <w:p w14:paraId="7C1F43B4" w14:textId="7E09E41F" w:rsidR="00325AE0" w:rsidRPr="002352A4" w:rsidRDefault="00325AE0" w:rsidP="002352A4">
      <w:r w:rsidRPr="002352A4">
        <w:rPr>
          <w:b/>
          <w:bCs/>
        </w:rPr>
        <w:t>Type</w:t>
      </w:r>
      <w:r w:rsidRPr="002352A4">
        <w:t>: Recommendation</w:t>
      </w:r>
    </w:p>
    <w:p w14:paraId="5675401C" w14:textId="7FBB0A2E" w:rsidR="00325AE0" w:rsidRPr="002352A4" w:rsidRDefault="00325AE0" w:rsidP="002352A4">
      <w:r w:rsidRPr="002352A4">
        <w:rPr>
          <w:b/>
          <w:bCs/>
        </w:rPr>
        <w:t xml:space="preserve">Full Name: </w:t>
      </w:r>
      <w:r w:rsidRPr="002352A4">
        <w:t>Metadata Quality Assessment Methodology.</w:t>
      </w:r>
    </w:p>
    <w:p w14:paraId="6B29456A" w14:textId="3A690191" w:rsidR="00325AE0" w:rsidRPr="002352A4" w:rsidRDefault="00325AE0" w:rsidP="002352A4">
      <w:r w:rsidRPr="002352A4">
        <w:rPr>
          <w:b/>
          <w:bCs/>
        </w:rPr>
        <w:t>Link:</w:t>
      </w:r>
      <w:r w:rsidRPr="002352A4">
        <w:t xml:space="preserve"> </w:t>
      </w:r>
      <w:hyperlink r:id="rId21" w:history="1">
        <w:r w:rsidRPr="002352A4">
          <w:rPr>
            <w:rStyle w:val="Hypertextovodkaz"/>
          </w:rPr>
          <w:t>https://data.europa.eu/mqa/methodology?locale=en</w:t>
        </w:r>
      </w:hyperlink>
      <w:r w:rsidRPr="002352A4">
        <w:t xml:space="preserve">  </w:t>
      </w:r>
    </w:p>
    <w:p w14:paraId="2958EC25" w14:textId="581D42E6" w:rsidR="00325AE0" w:rsidRPr="002352A4" w:rsidRDefault="00325AE0" w:rsidP="002352A4">
      <w:r w:rsidRPr="002352A4">
        <w:rPr>
          <w:b/>
          <w:bCs/>
        </w:rPr>
        <w:t>Description</w:t>
      </w:r>
      <w:r w:rsidRPr="002352A4">
        <w:t xml:space="preserve"> The Metadata Quality Assessment (MQA) is a tool developed by the consortium of data.europa.eu to study the quality of metadata harvested by data.europa.eu. It is intended to help data providers and data portals to check their metadata quality and to receive suggestions for improvements. The results are presented via the MQA and are also available as download. In the following we describe the functionality of the MQA and the methodology it uses.</w:t>
      </w:r>
    </w:p>
    <w:p w14:paraId="53680C00" w14:textId="2257E5C3" w:rsidR="00325AE0" w:rsidRPr="002352A4" w:rsidRDefault="00325AE0" w:rsidP="002352A4">
      <w:r w:rsidRPr="002352A4">
        <w:rPr>
          <w:b/>
          <w:bCs/>
        </w:rPr>
        <w:t>Additional details</w:t>
      </w:r>
      <w:r w:rsidRPr="002352A4">
        <w:t xml:space="preserve">: The NAPs are encouraged to follow this methodology since it would allow better interoperability between NAPs. </w:t>
      </w:r>
      <w:r w:rsidR="00D15D49" w:rsidRPr="002352A4">
        <w:t xml:space="preserve">There is also SHACL validator available </w:t>
      </w:r>
      <w:hyperlink r:id="rId22" w:history="1">
        <w:r w:rsidR="00D15D49" w:rsidRPr="002352A4">
          <w:rPr>
            <w:rStyle w:val="Hypertextovodkaz"/>
          </w:rPr>
          <w:t>https://data.europa.eu/mqa/shacl-validator-ui/data-provision</w:t>
        </w:r>
      </w:hyperlink>
      <w:r w:rsidR="00D15D49" w:rsidRPr="002352A4">
        <w:t xml:space="preserve">.  </w:t>
      </w:r>
      <w:r w:rsidRPr="002352A4">
        <w:t xml:space="preserve">Norwegian NAP has implemented this methodology, see </w:t>
      </w:r>
      <w:hyperlink r:id="rId23" w:history="1">
        <w:r w:rsidRPr="002352A4">
          <w:rPr>
            <w:rStyle w:val="Hypertextovodkaz"/>
          </w:rPr>
          <w:t>https://transportportal.no/</w:t>
        </w:r>
      </w:hyperlink>
      <w:r w:rsidRPr="002352A4">
        <w:t xml:space="preserve"> in any of the catalogue records. </w:t>
      </w:r>
    </w:p>
    <w:p w14:paraId="59A13D8E" w14:textId="211626D5" w:rsidR="00325AE0" w:rsidRPr="002352A4" w:rsidRDefault="00325AE0" w:rsidP="002352A4">
      <w:r w:rsidRPr="002352A4">
        <w:rPr>
          <w:b/>
          <w:bCs/>
        </w:rPr>
        <w:t>Related Documents</w:t>
      </w:r>
      <w:r w:rsidRPr="002352A4">
        <w:t>: -</w:t>
      </w:r>
    </w:p>
    <w:p w14:paraId="776AEA8D" w14:textId="15B0D655" w:rsidR="00373344" w:rsidRPr="002352A4" w:rsidRDefault="00373344" w:rsidP="00373344">
      <w:pPr>
        <w:pStyle w:val="Nadpis1"/>
      </w:pPr>
      <w:r w:rsidRPr="002352A4">
        <w:t>Open Questions</w:t>
      </w:r>
    </w:p>
    <w:p w14:paraId="788B5E62" w14:textId="023FC6CE" w:rsidR="00373344" w:rsidRPr="002352A4" w:rsidRDefault="00373344">
      <w:pPr>
        <w:pStyle w:val="Odstavecseseznamem"/>
        <w:numPr>
          <w:ilvl w:val="0"/>
          <w:numId w:val="13"/>
        </w:numPr>
      </w:pPr>
      <w:r w:rsidRPr="002352A4">
        <w:t>How to connect Recommendation Specifications to the NRA Objects?</w:t>
      </w:r>
    </w:p>
    <w:p w14:paraId="024D49FD" w14:textId="12EE27EE" w:rsidR="00373344" w:rsidRPr="002352A4" w:rsidRDefault="00373344">
      <w:pPr>
        <w:pStyle w:val="Odstavecseseznamem"/>
        <w:numPr>
          <w:ilvl w:val="0"/>
          <w:numId w:val="13"/>
        </w:numPr>
      </w:pPr>
      <w:r w:rsidRPr="002352A4">
        <w:t>How to connect Technical Specifications to the NRA Objects?</w:t>
      </w:r>
    </w:p>
    <w:p w14:paraId="7D359A69" w14:textId="77777777" w:rsidR="00373344" w:rsidRPr="002352A4" w:rsidRDefault="00373344" w:rsidP="00373344"/>
    <w:p w14:paraId="45DD7E7E" w14:textId="5347470A" w:rsidR="003B232D" w:rsidRPr="002352A4" w:rsidRDefault="00EC69CF" w:rsidP="00EC69CF">
      <w:pPr>
        <w:pStyle w:val="Nadpis1"/>
      </w:pPr>
      <w:r w:rsidRPr="002352A4">
        <w:t>Annex</w:t>
      </w:r>
    </w:p>
    <w:p w14:paraId="5E5D3287" w14:textId="386842A1" w:rsidR="00EC69CF" w:rsidRPr="002352A4" w:rsidRDefault="00EC69CF" w:rsidP="00EC69CF">
      <w:r w:rsidRPr="002352A4">
        <w:rPr>
          <w:noProof/>
        </w:rPr>
        <w:drawing>
          <wp:inline distT="0" distB="0" distL="0" distR="0" wp14:anchorId="12D0EF4F" wp14:editId="064DA12C">
            <wp:extent cx="5752465" cy="5336540"/>
            <wp:effectExtent l="0" t="0" r="635" b="0"/>
            <wp:docPr id="1959141952" name="Obrázek 1" descr="Obsah obrázku text, rukopis, inkoust, Písmo&#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41952" name="Obrázek 1" descr="Obsah obrázku text, rukopis, inkoust, Písmo&#10;&#10;Obsah generovaný pomocí AI může být nesprávný."/>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2465" cy="5336540"/>
                    </a:xfrm>
                    <a:prstGeom prst="rect">
                      <a:avLst/>
                    </a:prstGeom>
                    <a:noFill/>
                    <a:ln>
                      <a:noFill/>
                    </a:ln>
                  </pic:spPr>
                </pic:pic>
              </a:graphicData>
            </a:graphic>
          </wp:inline>
        </w:drawing>
      </w:r>
    </w:p>
    <w:sectPr w:rsidR="00EC69CF" w:rsidRPr="00235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056"/>
    <w:multiLevelType w:val="hybridMultilevel"/>
    <w:tmpl w:val="648E3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3A345EF"/>
    <w:multiLevelType w:val="multilevel"/>
    <w:tmpl w:val="310A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B8DCC"/>
    <w:multiLevelType w:val="multilevel"/>
    <w:tmpl w:val="FFFFFFFF"/>
    <w:lvl w:ilvl="0">
      <w:start w:val="1"/>
      <w:numFmt w:val="bullet"/>
      <w:lvlText w:val="·"/>
      <w:lvlJc w:val="left"/>
      <w:rPr>
        <w:rFonts w:ascii="Symbol" w:hAnsi="Symbol" w:cs="Symbol"/>
        <w:sz w:val="20"/>
      </w:rPr>
    </w:lvl>
    <w:lvl w:ilvl="1">
      <w:start w:val="1"/>
      <w:numFmt w:val="bullet"/>
      <w:lvlText w:val="·"/>
      <w:lvlJc w:val="left"/>
      <w:rPr>
        <w:rFonts w:ascii="Symbol" w:hAnsi="Symbol" w:cs="Symbol"/>
        <w:sz w:val="20"/>
      </w:rPr>
    </w:lvl>
    <w:lvl w:ilvl="2">
      <w:start w:val="1"/>
      <w:numFmt w:val="bullet"/>
      <w:lvlText w:val="·"/>
      <w:lvlJc w:val="left"/>
      <w:rPr>
        <w:rFonts w:ascii="Symbol" w:hAnsi="Symbol" w:cs="Symbol"/>
        <w:sz w:val="20"/>
      </w:rPr>
    </w:lvl>
    <w:lvl w:ilvl="3">
      <w:start w:val="1"/>
      <w:numFmt w:val="bullet"/>
      <w:lvlText w:val="·"/>
      <w:lvlJc w:val="left"/>
      <w:rPr>
        <w:rFonts w:ascii="Symbol" w:hAnsi="Symbol" w:cs="Symbol"/>
        <w:sz w:val="20"/>
      </w:rPr>
    </w:lvl>
    <w:lvl w:ilvl="4">
      <w:start w:val="1"/>
      <w:numFmt w:val="bullet"/>
      <w:lvlText w:val="·"/>
      <w:lvlJc w:val="left"/>
      <w:rPr>
        <w:rFonts w:ascii="Symbol" w:hAnsi="Symbol" w:cs="Symbol"/>
        <w:sz w:val="20"/>
      </w:rPr>
    </w:lvl>
    <w:lvl w:ilvl="5">
      <w:start w:val="1"/>
      <w:numFmt w:val="bullet"/>
      <w:lvlText w:val="·"/>
      <w:lvlJc w:val="left"/>
      <w:rPr>
        <w:rFonts w:ascii="Symbol" w:hAnsi="Symbol" w:cs="Symbol"/>
        <w:sz w:val="20"/>
      </w:rPr>
    </w:lvl>
    <w:lvl w:ilvl="6">
      <w:start w:val="1"/>
      <w:numFmt w:val="bullet"/>
      <w:lvlText w:val="·"/>
      <w:lvlJc w:val="left"/>
      <w:rPr>
        <w:rFonts w:ascii="Symbol" w:hAnsi="Symbol" w:cs="Symbol"/>
        <w:sz w:val="20"/>
      </w:rPr>
    </w:lvl>
    <w:lvl w:ilvl="7">
      <w:start w:val="1"/>
      <w:numFmt w:val="decimal"/>
      <w:lvlText w:val="%1.%2.%3.%4.%5.%6.%7.%8"/>
      <w:lvlJc w:val="left"/>
    </w:lvl>
    <w:lvl w:ilvl="8">
      <w:start w:val="1"/>
      <w:numFmt w:val="decimal"/>
      <w:lvlText w:val="%1.%2.%3.%4.%5.%6.%7.%8.%9"/>
      <w:lvlJc w:val="left"/>
    </w:lvl>
  </w:abstractNum>
  <w:abstractNum w:abstractNumId="3" w15:restartNumberingAfterBreak="0">
    <w:nsid w:val="043A4994"/>
    <w:multiLevelType w:val="hybridMultilevel"/>
    <w:tmpl w:val="F18071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4531018"/>
    <w:multiLevelType w:val="multilevel"/>
    <w:tmpl w:val="04050025"/>
    <w:lvl w:ilvl="0">
      <w:start w:val="1"/>
      <w:numFmt w:val="decimal"/>
      <w:pStyle w:val="Nadpis1"/>
      <w:lvlText w:val="%1"/>
      <w:lvlJc w:val="left"/>
      <w:pPr>
        <w:ind w:left="574"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058C7E1E"/>
    <w:multiLevelType w:val="multilevel"/>
    <w:tmpl w:val="FFFFFFFF"/>
    <w:name w:val="HTML-List1"/>
    <w:lvl w:ilvl="0">
      <w:start w:val="1"/>
      <w:numFmt w:val="bullet"/>
      <w:lvlText w:val="·"/>
      <w:lvlJc w:val="left"/>
      <w:rPr>
        <w:rFonts w:ascii="Symbol" w:hAnsi="Symbol" w:cs="Symbol"/>
        <w:sz w:val="20"/>
      </w:rPr>
    </w:lvl>
    <w:lvl w:ilvl="1">
      <w:start w:val="1"/>
      <w:numFmt w:val="bullet"/>
      <w:lvlText w:val="·"/>
      <w:lvlJc w:val="left"/>
      <w:rPr>
        <w:rFonts w:ascii="Symbol" w:hAnsi="Symbol" w:cs="Symbol"/>
        <w:sz w:val="20"/>
      </w:rPr>
    </w:lvl>
    <w:lvl w:ilvl="2">
      <w:start w:val="1"/>
      <w:numFmt w:val="bullet"/>
      <w:lvlText w:val="·"/>
      <w:lvlJc w:val="left"/>
      <w:rPr>
        <w:rFonts w:ascii="Symbol" w:hAnsi="Symbol" w:cs="Symbol"/>
        <w:sz w:val="20"/>
      </w:rPr>
    </w:lvl>
    <w:lvl w:ilvl="3">
      <w:start w:val="1"/>
      <w:numFmt w:val="bullet"/>
      <w:lvlText w:val="·"/>
      <w:lvlJc w:val="left"/>
      <w:rPr>
        <w:rFonts w:ascii="Symbol" w:hAnsi="Symbol" w:cs="Symbol"/>
        <w:sz w:val="20"/>
      </w:rPr>
    </w:lvl>
    <w:lvl w:ilvl="4">
      <w:start w:val="1"/>
      <w:numFmt w:val="bullet"/>
      <w:lvlText w:val="·"/>
      <w:lvlJc w:val="left"/>
      <w:rPr>
        <w:rFonts w:ascii="Symbol" w:hAnsi="Symbol" w:cs="Symbol"/>
        <w:sz w:val="20"/>
      </w:rPr>
    </w:lvl>
    <w:lvl w:ilvl="5">
      <w:start w:val="1"/>
      <w:numFmt w:val="bullet"/>
      <w:lvlText w:val="·"/>
      <w:lvlJc w:val="left"/>
      <w:rPr>
        <w:rFonts w:ascii="Symbol" w:hAnsi="Symbol" w:cs="Symbol"/>
        <w:sz w:val="20"/>
      </w:rPr>
    </w:lvl>
    <w:lvl w:ilvl="6">
      <w:start w:val="1"/>
      <w:numFmt w:val="bullet"/>
      <w:lvlText w:val="·"/>
      <w:lvlJc w:val="left"/>
      <w:rPr>
        <w:rFonts w:ascii="Symbol" w:hAnsi="Symbol" w:cs="Symbol"/>
        <w:sz w:val="20"/>
      </w:rPr>
    </w:lvl>
    <w:lvl w:ilvl="7">
      <w:start w:val="1"/>
      <w:numFmt w:val="decimal"/>
      <w:lvlText w:val="%1.%2.%3.%4.%5.%6.%7.%8"/>
      <w:lvlJc w:val="left"/>
    </w:lvl>
    <w:lvl w:ilvl="8">
      <w:start w:val="1"/>
      <w:numFmt w:val="decimal"/>
      <w:lvlText w:val="%1.%2.%3.%4.%5.%6.%7.%8.%9"/>
      <w:lvlJc w:val="left"/>
    </w:lvl>
  </w:abstractNum>
  <w:abstractNum w:abstractNumId="6" w15:restartNumberingAfterBreak="0">
    <w:nsid w:val="133914E2"/>
    <w:multiLevelType w:val="hybridMultilevel"/>
    <w:tmpl w:val="BA8041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58C54CC"/>
    <w:multiLevelType w:val="hybridMultilevel"/>
    <w:tmpl w:val="A7D2B942"/>
    <w:lvl w:ilvl="0" w:tplc="FFFFFFFF">
      <w:start w:val="1"/>
      <w:numFmt w:val="bullet"/>
      <w:lvlText w:val=""/>
      <w:lvlJc w:val="left"/>
      <w:pPr>
        <w:ind w:left="720" w:hanging="360"/>
      </w:pPr>
      <w:rPr>
        <w:rFonts w:ascii="Symbol" w:hAnsi="Symbol" w:hint="default"/>
      </w:rPr>
    </w:lvl>
    <w:lvl w:ilvl="1" w:tplc="0405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203DC6"/>
    <w:multiLevelType w:val="hybridMultilevel"/>
    <w:tmpl w:val="1D50CB9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EB12221"/>
    <w:multiLevelType w:val="hybridMultilevel"/>
    <w:tmpl w:val="E5628A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6263192"/>
    <w:multiLevelType w:val="multilevel"/>
    <w:tmpl w:val="E8FA7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1140A"/>
    <w:multiLevelType w:val="hybridMultilevel"/>
    <w:tmpl w:val="E9FC25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CD4D5F"/>
    <w:multiLevelType w:val="hybridMultilevel"/>
    <w:tmpl w:val="FE1E5AF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E651807"/>
    <w:multiLevelType w:val="hybridMultilevel"/>
    <w:tmpl w:val="DBF26E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E661425"/>
    <w:multiLevelType w:val="hybridMultilevel"/>
    <w:tmpl w:val="F676BE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6D82289"/>
    <w:multiLevelType w:val="hybridMultilevel"/>
    <w:tmpl w:val="3D7E70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7641AF6"/>
    <w:multiLevelType w:val="hybridMultilevel"/>
    <w:tmpl w:val="187CC06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575355FE"/>
    <w:multiLevelType w:val="hybridMultilevel"/>
    <w:tmpl w:val="8B384F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8573C5A"/>
    <w:multiLevelType w:val="hybridMultilevel"/>
    <w:tmpl w:val="F18E66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434622E"/>
    <w:multiLevelType w:val="multilevel"/>
    <w:tmpl w:val="A158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97C26"/>
    <w:multiLevelType w:val="multilevel"/>
    <w:tmpl w:val="23608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200AB"/>
    <w:multiLevelType w:val="hybridMultilevel"/>
    <w:tmpl w:val="9B42D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9F11C7E"/>
    <w:multiLevelType w:val="multilevel"/>
    <w:tmpl w:val="644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459F4"/>
    <w:multiLevelType w:val="hybridMultilevel"/>
    <w:tmpl w:val="45F433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2E80E38"/>
    <w:multiLevelType w:val="hybridMultilevel"/>
    <w:tmpl w:val="7A7EC1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740227E"/>
    <w:multiLevelType w:val="hybridMultilevel"/>
    <w:tmpl w:val="FD16C6F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8261A61"/>
    <w:multiLevelType w:val="hybridMultilevel"/>
    <w:tmpl w:val="6B0404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86229C8"/>
    <w:multiLevelType w:val="hybridMultilevel"/>
    <w:tmpl w:val="36CCB5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DF45E58"/>
    <w:multiLevelType w:val="hybridMultilevel"/>
    <w:tmpl w:val="2DEC01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37639371">
    <w:abstractNumId w:val="4"/>
  </w:num>
  <w:num w:numId="2" w16cid:durableId="169487133">
    <w:abstractNumId w:val="14"/>
  </w:num>
  <w:num w:numId="3" w16cid:durableId="576287887">
    <w:abstractNumId w:val="24"/>
  </w:num>
  <w:num w:numId="4" w16cid:durableId="1986742533">
    <w:abstractNumId w:val="6"/>
  </w:num>
  <w:num w:numId="5" w16cid:durableId="413093392">
    <w:abstractNumId w:val="0"/>
  </w:num>
  <w:num w:numId="6" w16cid:durableId="590166855">
    <w:abstractNumId w:val="17"/>
  </w:num>
  <w:num w:numId="7" w16cid:durableId="88694362">
    <w:abstractNumId w:val="28"/>
  </w:num>
  <w:num w:numId="8" w16cid:durableId="1799375808">
    <w:abstractNumId w:val="15"/>
  </w:num>
  <w:num w:numId="9" w16cid:durableId="605159776">
    <w:abstractNumId w:val="21"/>
  </w:num>
  <w:num w:numId="10" w16cid:durableId="1407148749">
    <w:abstractNumId w:val="8"/>
  </w:num>
  <w:num w:numId="11" w16cid:durableId="645861993">
    <w:abstractNumId w:val="27"/>
  </w:num>
  <w:num w:numId="12" w16cid:durableId="283003130">
    <w:abstractNumId w:val="18"/>
  </w:num>
  <w:num w:numId="13" w16cid:durableId="74085791">
    <w:abstractNumId w:val="11"/>
  </w:num>
  <w:num w:numId="14" w16cid:durableId="2027561742">
    <w:abstractNumId w:val="3"/>
  </w:num>
  <w:num w:numId="15" w16cid:durableId="1146049287">
    <w:abstractNumId w:val="19"/>
  </w:num>
  <w:num w:numId="16" w16cid:durableId="1762333534">
    <w:abstractNumId w:val="9"/>
  </w:num>
  <w:num w:numId="17" w16cid:durableId="144586444">
    <w:abstractNumId w:val="25"/>
  </w:num>
  <w:num w:numId="18" w16cid:durableId="740176571">
    <w:abstractNumId w:val="10"/>
  </w:num>
  <w:num w:numId="19" w16cid:durableId="499466750">
    <w:abstractNumId w:val="20"/>
  </w:num>
  <w:num w:numId="20" w16cid:durableId="1061250708">
    <w:abstractNumId w:val="22"/>
  </w:num>
  <w:num w:numId="21" w16cid:durableId="1427386161">
    <w:abstractNumId w:val="13"/>
  </w:num>
  <w:num w:numId="22" w16cid:durableId="870148574">
    <w:abstractNumId w:val="12"/>
  </w:num>
  <w:num w:numId="23" w16cid:durableId="420762119">
    <w:abstractNumId w:val="2"/>
  </w:num>
  <w:num w:numId="24" w16cid:durableId="221258159">
    <w:abstractNumId w:val="26"/>
  </w:num>
  <w:num w:numId="25" w16cid:durableId="1559315302">
    <w:abstractNumId w:val="7"/>
  </w:num>
  <w:num w:numId="26" w16cid:durableId="944728217">
    <w:abstractNumId w:val="1"/>
  </w:num>
  <w:num w:numId="27" w16cid:durableId="1467163311">
    <w:abstractNumId w:val="16"/>
  </w:num>
  <w:num w:numId="28" w16cid:durableId="124842127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1D"/>
    <w:rsid w:val="0000049A"/>
    <w:rsid w:val="00046DFA"/>
    <w:rsid w:val="00063B1E"/>
    <w:rsid w:val="00072B8C"/>
    <w:rsid w:val="00076DD4"/>
    <w:rsid w:val="000A405D"/>
    <w:rsid w:val="00164385"/>
    <w:rsid w:val="001714E6"/>
    <w:rsid w:val="001923F1"/>
    <w:rsid w:val="001A1AFF"/>
    <w:rsid w:val="001D6748"/>
    <w:rsid w:val="001E0E36"/>
    <w:rsid w:val="002352A4"/>
    <w:rsid w:val="00242D85"/>
    <w:rsid w:val="0026427D"/>
    <w:rsid w:val="002C3F3C"/>
    <w:rsid w:val="00325AE0"/>
    <w:rsid w:val="00336A6B"/>
    <w:rsid w:val="00373344"/>
    <w:rsid w:val="003A4857"/>
    <w:rsid w:val="003A4992"/>
    <w:rsid w:val="003B232D"/>
    <w:rsid w:val="00421E87"/>
    <w:rsid w:val="00461990"/>
    <w:rsid w:val="004A05F3"/>
    <w:rsid w:val="004A1A78"/>
    <w:rsid w:val="00514182"/>
    <w:rsid w:val="00515457"/>
    <w:rsid w:val="0053435F"/>
    <w:rsid w:val="00554B81"/>
    <w:rsid w:val="00557EE7"/>
    <w:rsid w:val="00566B73"/>
    <w:rsid w:val="00571A32"/>
    <w:rsid w:val="0063311A"/>
    <w:rsid w:val="006815FD"/>
    <w:rsid w:val="006F2EFF"/>
    <w:rsid w:val="007A1611"/>
    <w:rsid w:val="0080068D"/>
    <w:rsid w:val="00883736"/>
    <w:rsid w:val="00890F1D"/>
    <w:rsid w:val="008A6F52"/>
    <w:rsid w:val="008C1765"/>
    <w:rsid w:val="009071CE"/>
    <w:rsid w:val="00956CDE"/>
    <w:rsid w:val="00AC65D9"/>
    <w:rsid w:val="00B20147"/>
    <w:rsid w:val="00B97258"/>
    <w:rsid w:val="00C43B21"/>
    <w:rsid w:val="00CA414A"/>
    <w:rsid w:val="00CA42BF"/>
    <w:rsid w:val="00CA4BAE"/>
    <w:rsid w:val="00CA68D0"/>
    <w:rsid w:val="00CB2D40"/>
    <w:rsid w:val="00CC535A"/>
    <w:rsid w:val="00D067AA"/>
    <w:rsid w:val="00D15D49"/>
    <w:rsid w:val="00D50E32"/>
    <w:rsid w:val="00D8407A"/>
    <w:rsid w:val="00DA5E8D"/>
    <w:rsid w:val="00DD0F82"/>
    <w:rsid w:val="00DD662C"/>
    <w:rsid w:val="00DE1039"/>
    <w:rsid w:val="00E00BFC"/>
    <w:rsid w:val="00E104D6"/>
    <w:rsid w:val="00E16EFE"/>
    <w:rsid w:val="00E26B64"/>
    <w:rsid w:val="00E30B20"/>
    <w:rsid w:val="00E8242C"/>
    <w:rsid w:val="00E82BC2"/>
    <w:rsid w:val="00EC69CF"/>
    <w:rsid w:val="00EE2141"/>
    <w:rsid w:val="00F0358D"/>
    <w:rsid w:val="00F0501A"/>
    <w:rsid w:val="00F102A3"/>
    <w:rsid w:val="00F238FD"/>
    <w:rsid w:val="00F6095A"/>
    <w:rsid w:val="00F7238C"/>
    <w:rsid w:val="00F84D2B"/>
    <w:rsid w:val="00F96B93"/>
    <w:rsid w:val="00FC676D"/>
    <w:rsid w:val="00FE1F50"/>
    <w:rsid w:val="027CC0F7"/>
    <w:rsid w:val="02A97FE8"/>
    <w:rsid w:val="095800E9"/>
    <w:rsid w:val="0E7DF6B8"/>
    <w:rsid w:val="0F306118"/>
    <w:rsid w:val="100F597D"/>
    <w:rsid w:val="12322E78"/>
    <w:rsid w:val="132D66C3"/>
    <w:rsid w:val="15E99152"/>
    <w:rsid w:val="167BC71D"/>
    <w:rsid w:val="17236B8E"/>
    <w:rsid w:val="1C4C37D7"/>
    <w:rsid w:val="1CB4F82C"/>
    <w:rsid w:val="1F04ED26"/>
    <w:rsid w:val="1F2A745A"/>
    <w:rsid w:val="2088BCFB"/>
    <w:rsid w:val="2098608E"/>
    <w:rsid w:val="2128A63D"/>
    <w:rsid w:val="225201C1"/>
    <w:rsid w:val="2255C5A4"/>
    <w:rsid w:val="2839E150"/>
    <w:rsid w:val="2D668A6E"/>
    <w:rsid w:val="2D72160B"/>
    <w:rsid w:val="2DF596A5"/>
    <w:rsid w:val="2E5CB0F2"/>
    <w:rsid w:val="2F880F14"/>
    <w:rsid w:val="347E7465"/>
    <w:rsid w:val="39910DC2"/>
    <w:rsid w:val="3CBFCE58"/>
    <w:rsid w:val="3D235B6F"/>
    <w:rsid w:val="3D72425C"/>
    <w:rsid w:val="3F1EBDFD"/>
    <w:rsid w:val="40BF75F6"/>
    <w:rsid w:val="446B2FC7"/>
    <w:rsid w:val="45D08A46"/>
    <w:rsid w:val="470D23F0"/>
    <w:rsid w:val="4959E9A9"/>
    <w:rsid w:val="49C71741"/>
    <w:rsid w:val="49D3320A"/>
    <w:rsid w:val="4A8F55AF"/>
    <w:rsid w:val="4B23218E"/>
    <w:rsid w:val="502986DD"/>
    <w:rsid w:val="51491389"/>
    <w:rsid w:val="5169133C"/>
    <w:rsid w:val="51E39590"/>
    <w:rsid w:val="52C30309"/>
    <w:rsid w:val="5375CC96"/>
    <w:rsid w:val="53D53269"/>
    <w:rsid w:val="5534344B"/>
    <w:rsid w:val="575EA744"/>
    <w:rsid w:val="57A55676"/>
    <w:rsid w:val="57CF4007"/>
    <w:rsid w:val="58739769"/>
    <w:rsid w:val="588AFD31"/>
    <w:rsid w:val="5994ADC9"/>
    <w:rsid w:val="5EB8F6C7"/>
    <w:rsid w:val="6164D794"/>
    <w:rsid w:val="619D5178"/>
    <w:rsid w:val="62C5A18D"/>
    <w:rsid w:val="65B5C51E"/>
    <w:rsid w:val="66BA57DF"/>
    <w:rsid w:val="68A98635"/>
    <w:rsid w:val="68EB6B6D"/>
    <w:rsid w:val="6A4988D2"/>
    <w:rsid w:val="711A0E1F"/>
    <w:rsid w:val="727732C7"/>
    <w:rsid w:val="75692F9C"/>
    <w:rsid w:val="75D24DC2"/>
    <w:rsid w:val="77A9F1CC"/>
    <w:rsid w:val="78082560"/>
    <w:rsid w:val="781E4A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C0AD"/>
  <w15:chartTrackingRefBased/>
  <w15:docId w15:val="{210B64A1-2233-4DC6-8FAE-DF41006B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890F1D"/>
    <w:pPr>
      <w:keepNext/>
      <w:keepLines/>
      <w:numPr>
        <w:numId w:val="1"/>
      </w:numPr>
      <w:spacing w:before="360" w:after="80"/>
      <w:ind w:left="432"/>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890F1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890F1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890F1D"/>
    <w:pPr>
      <w:keepNext/>
      <w:keepLines/>
      <w:numPr>
        <w:ilvl w:val="3"/>
        <w:numId w:val="1"/>
      </w:numPr>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890F1D"/>
    <w:pPr>
      <w:keepNext/>
      <w:keepLines/>
      <w:numPr>
        <w:ilvl w:val="4"/>
        <w:numId w:val="1"/>
      </w:numPr>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890F1D"/>
    <w:pPr>
      <w:keepNext/>
      <w:keepLines/>
      <w:numPr>
        <w:ilvl w:val="5"/>
        <w:numId w:val="1"/>
      </w:numPr>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90F1D"/>
    <w:pPr>
      <w:keepNext/>
      <w:keepLines/>
      <w:numPr>
        <w:ilvl w:val="6"/>
        <w:numId w:val="1"/>
      </w:numPr>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90F1D"/>
    <w:pPr>
      <w:keepNext/>
      <w:keepLines/>
      <w:numPr>
        <w:ilvl w:val="7"/>
        <w:numId w:val="1"/>
      </w:numPr>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90F1D"/>
    <w:pPr>
      <w:keepNext/>
      <w:keepLines/>
      <w:numPr>
        <w:ilvl w:val="8"/>
        <w:numId w:val="1"/>
      </w:numPr>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90F1D"/>
    <w:rPr>
      <w:rFonts w:asciiTheme="majorHAnsi" w:eastAsiaTheme="majorEastAsia" w:hAnsiTheme="majorHAnsi" w:cstheme="majorBidi"/>
      <w:color w:val="0F4761" w:themeColor="accent1" w:themeShade="BF"/>
      <w:sz w:val="40"/>
      <w:szCs w:val="40"/>
      <w:lang w:val="en-GB"/>
    </w:rPr>
  </w:style>
  <w:style w:type="character" w:customStyle="1" w:styleId="Nadpis2Char">
    <w:name w:val="Nadpis 2 Char"/>
    <w:basedOn w:val="Standardnpsmoodstavce"/>
    <w:link w:val="Nadpis2"/>
    <w:uiPriority w:val="9"/>
    <w:rsid w:val="00890F1D"/>
    <w:rPr>
      <w:rFonts w:asciiTheme="majorHAnsi" w:eastAsiaTheme="majorEastAsia" w:hAnsiTheme="majorHAnsi" w:cstheme="majorBidi"/>
      <w:color w:val="0F4761" w:themeColor="accent1" w:themeShade="BF"/>
      <w:sz w:val="32"/>
      <w:szCs w:val="32"/>
      <w:lang w:val="en-GB"/>
    </w:rPr>
  </w:style>
  <w:style w:type="character" w:customStyle="1" w:styleId="Nadpis3Char">
    <w:name w:val="Nadpis 3 Char"/>
    <w:basedOn w:val="Standardnpsmoodstavce"/>
    <w:link w:val="Nadpis3"/>
    <w:uiPriority w:val="9"/>
    <w:rsid w:val="00890F1D"/>
    <w:rPr>
      <w:rFonts w:eastAsiaTheme="majorEastAsia" w:cstheme="majorBidi"/>
      <w:color w:val="0F4761" w:themeColor="accent1" w:themeShade="BF"/>
      <w:sz w:val="28"/>
      <w:szCs w:val="28"/>
      <w:lang w:val="en-GB"/>
    </w:rPr>
  </w:style>
  <w:style w:type="character" w:customStyle="1" w:styleId="Nadpis4Char">
    <w:name w:val="Nadpis 4 Char"/>
    <w:basedOn w:val="Standardnpsmoodstavce"/>
    <w:link w:val="Nadpis4"/>
    <w:uiPriority w:val="9"/>
    <w:rsid w:val="00890F1D"/>
    <w:rPr>
      <w:rFonts w:eastAsiaTheme="majorEastAsia" w:cstheme="majorBidi"/>
      <w:i/>
      <w:iCs/>
      <w:color w:val="0F4761" w:themeColor="accent1" w:themeShade="BF"/>
      <w:lang w:val="en-GB"/>
    </w:rPr>
  </w:style>
  <w:style w:type="character" w:customStyle="1" w:styleId="Nadpis5Char">
    <w:name w:val="Nadpis 5 Char"/>
    <w:basedOn w:val="Standardnpsmoodstavce"/>
    <w:link w:val="Nadpis5"/>
    <w:uiPriority w:val="9"/>
    <w:semiHidden/>
    <w:rsid w:val="00890F1D"/>
    <w:rPr>
      <w:rFonts w:eastAsiaTheme="majorEastAsia" w:cstheme="majorBidi"/>
      <w:color w:val="0F4761" w:themeColor="accent1" w:themeShade="BF"/>
      <w:lang w:val="en-GB"/>
    </w:rPr>
  </w:style>
  <w:style w:type="character" w:customStyle="1" w:styleId="Nadpis6Char">
    <w:name w:val="Nadpis 6 Char"/>
    <w:basedOn w:val="Standardnpsmoodstavce"/>
    <w:link w:val="Nadpis6"/>
    <w:uiPriority w:val="9"/>
    <w:semiHidden/>
    <w:rsid w:val="00890F1D"/>
    <w:rPr>
      <w:rFonts w:eastAsiaTheme="majorEastAsia" w:cstheme="majorBidi"/>
      <w:i/>
      <w:iCs/>
      <w:color w:val="595959" w:themeColor="text1" w:themeTint="A6"/>
      <w:lang w:val="en-GB"/>
    </w:rPr>
  </w:style>
  <w:style w:type="character" w:customStyle="1" w:styleId="Nadpis7Char">
    <w:name w:val="Nadpis 7 Char"/>
    <w:basedOn w:val="Standardnpsmoodstavce"/>
    <w:link w:val="Nadpis7"/>
    <w:uiPriority w:val="9"/>
    <w:semiHidden/>
    <w:rsid w:val="00890F1D"/>
    <w:rPr>
      <w:rFonts w:eastAsiaTheme="majorEastAsia" w:cstheme="majorBidi"/>
      <w:color w:val="595959" w:themeColor="text1" w:themeTint="A6"/>
      <w:lang w:val="en-GB"/>
    </w:rPr>
  </w:style>
  <w:style w:type="character" w:customStyle="1" w:styleId="Nadpis8Char">
    <w:name w:val="Nadpis 8 Char"/>
    <w:basedOn w:val="Standardnpsmoodstavce"/>
    <w:link w:val="Nadpis8"/>
    <w:uiPriority w:val="9"/>
    <w:semiHidden/>
    <w:rsid w:val="00890F1D"/>
    <w:rPr>
      <w:rFonts w:eastAsiaTheme="majorEastAsia" w:cstheme="majorBidi"/>
      <w:i/>
      <w:iCs/>
      <w:color w:val="272727" w:themeColor="text1" w:themeTint="D8"/>
      <w:lang w:val="en-GB"/>
    </w:rPr>
  </w:style>
  <w:style w:type="character" w:customStyle="1" w:styleId="Nadpis9Char">
    <w:name w:val="Nadpis 9 Char"/>
    <w:basedOn w:val="Standardnpsmoodstavce"/>
    <w:link w:val="Nadpis9"/>
    <w:uiPriority w:val="9"/>
    <w:semiHidden/>
    <w:rsid w:val="00890F1D"/>
    <w:rPr>
      <w:rFonts w:eastAsiaTheme="majorEastAsia" w:cstheme="majorBidi"/>
      <w:color w:val="272727" w:themeColor="text1" w:themeTint="D8"/>
      <w:lang w:val="en-GB"/>
    </w:rPr>
  </w:style>
  <w:style w:type="paragraph" w:styleId="Nzev">
    <w:name w:val="Title"/>
    <w:basedOn w:val="Normln"/>
    <w:next w:val="Normln"/>
    <w:link w:val="NzevChar"/>
    <w:uiPriority w:val="10"/>
    <w:qFormat/>
    <w:rsid w:val="0089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90F1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90F1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90F1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90F1D"/>
    <w:pPr>
      <w:spacing w:before="160"/>
      <w:jc w:val="center"/>
    </w:pPr>
    <w:rPr>
      <w:i/>
      <w:iCs/>
      <w:color w:val="404040" w:themeColor="text1" w:themeTint="BF"/>
    </w:rPr>
  </w:style>
  <w:style w:type="character" w:customStyle="1" w:styleId="CittChar">
    <w:name w:val="Citát Char"/>
    <w:basedOn w:val="Standardnpsmoodstavce"/>
    <w:link w:val="Citt"/>
    <w:uiPriority w:val="29"/>
    <w:rsid w:val="00890F1D"/>
    <w:rPr>
      <w:i/>
      <w:iCs/>
      <w:color w:val="404040" w:themeColor="text1" w:themeTint="BF"/>
    </w:rPr>
  </w:style>
  <w:style w:type="paragraph" w:styleId="Odstavecseseznamem">
    <w:name w:val="List Paragraph"/>
    <w:basedOn w:val="Normln"/>
    <w:uiPriority w:val="34"/>
    <w:qFormat/>
    <w:rsid w:val="00890F1D"/>
    <w:pPr>
      <w:ind w:left="720"/>
      <w:contextualSpacing/>
    </w:pPr>
  </w:style>
  <w:style w:type="character" w:styleId="Zdraznnintenzivn">
    <w:name w:val="Intense Emphasis"/>
    <w:basedOn w:val="Standardnpsmoodstavce"/>
    <w:uiPriority w:val="21"/>
    <w:qFormat/>
    <w:rsid w:val="00890F1D"/>
    <w:rPr>
      <w:i/>
      <w:iCs/>
      <w:color w:val="0F4761" w:themeColor="accent1" w:themeShade="BF"/>
    </w:rPr>
  </w:style>
  <w:style w:type="paragraph" w:styleId="Vrazncitt">
    <w:name w:val="Intense Quote"/>
    <w:basedOn w:val="Normln"/>
    <w:next w:val="Normln"/>
    <w:link w:val="VrazncittChar"/>
    <w:uiPriority w:val="30"/>
    <w:qFormat/>
    <w:rsid w:val="0089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90F1D"/>
    <w:rPr>
      <w:i/>
      <w:iCs/>
      <w:color w:val="0F4761" w:themeColor="accent1" w:themeShade="BF"/>
    </w:rPr>
  </w:style>
  <w:style w:type="character" w:styleId="Odkazintenzivn">
    <w:name w:val="Intense Reference"/>
    <w:basedOn w:val="Standardnpsmoodstavce"/>
    <w:uiPriority w:val="32"/>
    <w:qFormat/>
    <w:rsid w:val="00890F1D"/>
    <w:rPr>
      <w:b/>
      <w:bCs/>
      <w:smallCaps/>
      <w:color w:val="0F4761" w:themeColor="accent1" w:themeShade="BF"/>
      <w:spacing w:val="5"/>
    </w:rPr>
  </w:style>
  <w:style w:type="character" w:styleId="Hypertextovodkaz">
    <w:name w:val="Hyperlink"/>
    <w:basedOn w:val="Standardnpsmoodstavce"/>
    <w:uiPriority w:val="99"/>
    <w:unhideWhenUsed/>
    <w:rsid w:val="00AC65D9"/>
    <w:rPr>
      <w:color w:val="467886" w:themeColor="hyperlink"/>
      <w:u w:val="single"/>
    </w:rPr>
  </w:style>
  <w:style w:type="character" w:styleId="Nevyeenzmnka">
    <w:name w:val="Unresolved Mention"/>
    <w:basedOn w:val="Standardnpsmoodstavce"/>
    <w:uiPriority w:val="99"/>
    <w:semiHidden/>
    <w:unhideWhenUsed/>
    <w:rsid w:val="00AC65D9"/>
    <w:rPr>
      <w:color w:val="605E5C"/>
      <w:shd w:val="clear" w:color="auto" w:fill="E1DFDD"/>
    </w:rPr>
  </w:style>
  <w:style w:type="paragraph" w:styleId="Nadpisobsahu">
    <w:name w:val="TOC Heading"/>
    <w:basedOn w:val="Nadpis1"/>
    <w:next w:val="Normln"/>
    <w:uiPriority w:val="39"/>
    <w:unhideWhenUsed/>
    <w:qFormat/>
    <w:rsid w:val="00F84D2B"/>
    <w:pPr>
      <w:spacing w:before="240" w:after="0" w:line="259" w:lineRule="auto"/>
      <w:outlineLvl w:val="9"/>
    </w:pPr>
    <w:rPr>
      <w:kern w:val="0"/>
      <w:sz w:val="32"/>
      <w:szCs w:val="32"/>
      <w:lang w:val="cs-CZ" w:eastAsia="cs-CZ"/>
      <w14:ligatures w14:val="none"/>
    </w:rPr>
  </w:style>
  <w:style w:type="paragraph" w:styleId="Obsah1">
    <w:name w:val="toc 1"/>
    <w:basedOn w:val="Normln"/>
    <w:next w:val="Normln"/>
    <w:autoRedefine/>
    <w:uiPriority w:val="39"/>
    <w:unhideWhenUsed/>
    <w:rsid w:val="00557EE7"/>
    <w:pPr>
      <w:tabs>
        <w:tab w:val="left" w:pos="480"/>
        <w:tab w:val="right" w:leader="dot" w:pos="9062"/>
      </w:tabs>
      <w:spacing w:after="100"/>
    </w:pPr>
  </w:style>
  <w:style w:type="paragraph" w:styleId="Obsah2">
    <w:name w:val="toc 2"/>
    <w:basedOn w:val="Normln"/>
    <w:next w:val="Normln"/>
    <w:autoRedefine/>
    <w:uiPriority w:val="39"/>
    <w:unhideWhenUsed/>
    <w:rsid w:val="00F84D2B"/>
    <w:pPr>
      <w:spacing w:after="100"/>
      <w:ind w:left="240"/>
    </w:pPr>
  </w:style>
  <w:style w:type="paragraph" w:styleId="Obsah3">
    <w:name w:val="toc 3"/>
    <w:basedOn w:val="Normln"/>
    <w:next w:val="Normln"/>
    <w:autoRedefine/>
    <w:uiPriority w:val="39"/>
    <w:unhideWhenUsed/>
    <w:rsid w:val="00557EE7"/>
    <w:pPr>
      <w:spacing w:after="100"/>
      <w:ind w:left="480"/>
    </w:pPr>
  </w:style>
  <w:style w:type="table" w:styleId="Mkatabulky">
    <w:name w:val="Table Grid"/>
    <w:basedOn w:val="Normlntabulka"/>
    <w:uiPriority w:val="39"/>
    <w:rsid w:val="00FC6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9530">
      <w:bodyDiv w:val="1"/>
      <w:marLeft w:val="0"/>
      <w:marRight w:val="0"/>
      <w:marTop w:val="0"/>
      <w:marBottom w:val="0"/>
      <w:divBdr>
        <w:top w:val="none" w:sz="0" w:space="0" w:color="auto"/>
        <w:left w:val="none" w:sz="0" w:space="0" w:color="auto"/>
        <w:bottom w:val="none" w:sz="0" w:space="0" w:color="auto"/>
        <w:right w:val="none" w:sz="0" w:space="0" w:color="auto"/>
      </w:divBdr>
    </w:div>
    <w:div w:id="12459982">
      <w:bodyDiv w:val="1"/>
      <w:marLeft w:val="0"/>
      <w:marRight w:val="0"/>
      <w:marTop w:val="0"/>
      <w:marBottom w:val="0"/>
      <w:divBdr>
        <w:top w:val="none" w:sz="0" w:space="0" w:color="auto"/>
        <w:left w:val="none" w:sz="0" w:space="0" w:color="auto"/>
        <w:bottom w:val="none" w:sz="0" w:space="0" w:color="auto"/>
        <w:right w:val="none" w:sz="0" w:space="0" w:color="auto"/>
      </w:divBdr>
    </w:div>
    <w:div w:id="108163576">
      <w:bodyDiv w:val="1"/>
      <w:marLeft w:val="0"/>
      <w:marRight w:val="0"/>
      <w:marTop w:val="0"/>
      <w:marBottom w:val="0"/>
      <w:divBdr>
        <w:top w:val="none" w:sz="0" w:space="0" w:color="auto"/>
        <w:left w:val="none" w:sz="0" w:space="0" w:color="auto"/>
        <w:bottom w:val="none" w:sz="0" w:space="0" w:color="auto"/>
        <w:right w:val="none" w:sz="0" w:space="0" w:color="auto"/>
      </w:divBdr>
    </w:div>
    <w:div w:id="127015945">
      <w:bodyDiv w:val="1"/>
      <w:marLeft w:val="0"/>
      <w:marRight w:val="0"/>
      <w:marTop w:val="0"/>
      <w:marBottom w:val="0"/>
      <w:divBdr>
        <w:top w:val="none" w:sz="0" w:space="0" w:color="auto"/>
        <w:left w:val="none" w:sz="0" w:space="0" w:color="auto"/>
        <w:bottom w:val="none" w:sz="0" w:space="0" w:color="auto"/>
        <w:right w:val="none" w:sz="0" w:space="0" w:color="auto"/>
      </w:divBdr>
    </w:div>
    <w:div w:id="190647695">
      <w:bodyDiv w:val="1"/>
      <w:marLeft w:val="0"/>
      <w:marRight w:val="0"/>
      <w:marTop w:val="0"/>
      <w:marBottom w:val="0"/>
      <w:divBdr>
        <w:top w:val="none" w:sz="0" w:space="0" w:color="auto"/>
        <w:left w:val="none" w:sz="0" w:space="0" w:color="auto"/>
        <w:bottom w:val="none" w:sz="0" w:space="0" w:color="auto"/>
        <w:right w:val="none" w:sz="0" w:space="0" w:color="auto"/>
      </w:divBdr>
    </w:div>
    <w:div w:id="303435828">
      <w:bodyDiv w:val="1"/>
      <w:marLeft w:val="0"/>
      <w:marRight w:val="0"/>
      <w:marTop w:val="0"/>
      <w:marBottom w:val="0"/>
      <w:divBdr>
        <w:top w:val="none" w:sz="0" w:space="0" w:color="auto"/>
        <w:left w:val="none" w:sz="0" w:space="0" w:color="auto"/>
        <w:bottom w:val="none" w:sz="0" w:space="0" w:color="auto"/>
        <w:right w:val="none" w:sz="0" w:space="0" w:color="auto"/>
      </w:divBdr>
    </w:div>
    <w:div w:id="325284257">
      <w:bodyDiv w:val="1"/>
      <w:marLeft w:val="0"/>
      <w:marRight w:val="0"/>
      <w:marTop w:val="0"/>
      <w:marBottom w:val="0"/>
      <w:divBdr>
        <w:top w:val="none" w:sz="0" w:space="0" w:color="auto"/>
        <w:left w:val="none" w:sz="0" w:space="0" w:color="auto"/>
        <w:bottom w:val="none" w:sz="0" w:space="0" w:color="auto"/>
        <w:right w:val="none" w:sz="0" w:space="0" w:color="auto"/>
      </w:divBdr>
    </w:div>
    <w:div w:id="335886641">
      <w:bodyDiv w:val="1"/>
      <w:marLeft w:val="0"/>
      <w:marRight w:val="0"/>
      <w:marTop w:val="0"/>
      <w:marBottom w:val="0"/>
      <w:divBdr>
        <w:top w:val="none" w:sz="0" w:space="0" w:color="auto"/>
        <w:left w:val="none" w:sz="0" w:space="0" w:color="auto"/>
        <w:bottom w:val="none" w:sz="0" w:space="0" w:color="auto"/>
        <w:right w:val="none" w:sz="0" w:space="0" w:color="auto"/>
      </w:divBdr>
    </w:div>
    <w:div w:id="353653061">
      <w:bodyDiv w:val="1"/>
      <w:marLeft w:val="0"/>
      <w:marRight w:val="0"/>
      <w:marTop w:val="0"/>
      <w:marBottom w:val="0"/>
      <w:divBdr>
        <w:top w:val="none" w:sz="0" w:space="0" w:color="auto"/>
        <w:left w:val="none" w:sz="0" w:space="0" w:color="auto"/>
        <w:bottom w:val="none" w:sz="0" w:space="0" w:color="auto"/>
        <w:right w:val="none" w:sz="0" w:space="0" w:color="auto"/>
      </w:divBdr>
    </w:div>
    <w:div w:id="406391144">
      <w:bodyDiv w:val="1"/>
      <w:marLeft w:val="0"/>
      <w:marRight w:val="0"/>
      <w:marTop w:val="0"/>
      <w:marBottom w:val="0"/>
      <w:divBdr>
        <w:top w:val="none" w:sz="0" w:space="0" w:color="auto"/>
        <w:left w:val="none" w:sz="0" w:space="0" w:color="auto"/>
        <w:bottom w:val="none" w:sz="0" w:space="0" w:color="auto"/>
        <w:right w:val="none" w:sz="0" w:space="0" w:color="auto"/>
      </w:divBdr>
    </w:div>
    <w:div w:id="420837317">
      <w:bodyDiv w:val="1"/>
      <w:marLeft w:val="0"/>
      <w:marRight w:val="0"/>
      <w:marTop w:val="0"/>
      <w:marBottom w:val="0"/>
      <w:divBdr>
        <w:top w:val="none" w:sz="0" w:space="0" w:color="auto"/>
        <w:left w:val="none" w:sz="0" w:space="0" w:color="auto"/>
        <w:bottom w:val="none" w:sz="0" w:space="0" w:color="auto"/>
        <w:right w:val="none" w:sz="0" w:space="0" w:color="auto"/>
      </w:divBdr>
    </w:div>
    <w:div w:id="427120741">
      <w:bodyDiv w:val="1"/>
      <w:marLeft w:val="0"/>
      <w:marRight w:val="0"/>
      <w:marTop w:val="0"/>
      <w:marBottom w:val="0"/>
      <w:divBdr>
        <w:top w:val="none" w:sz="0" w:space="0" w:color="auto"/>
        <w:left w:val="none" w:sz="0" w:space="0" w:color="auto"/>
        <w:bottom w:val="none" w:sz="0" w:space="0" w:color="auto"/>
        <w:right w:val="none" w:sz="0" w:space="0" w:color="auto"/>
      </w:divBdr>
    </w:div>
    <w:div w:id="449014925">
      <w:bodyDiv w:val="1"/>
      <w:marLeft w:val="0"/>
      <w:marRight w:val="0"/>
      <w:marTop w:val="0"/>
      <w:marBottom w:val="0"/>
      <w:divBdr>
        <w:top w:val="none" w:sz="0" w:space="0" w:color="auto"/>
        <w:left w:val="none" w:sz="0" w:space="0" w:color="auto"/>
        <w:bottom w:val="none" w:sz="0" w:space="0" w:color="auto"/>
        <w:right w:val="none" w:sz="0" w:space="0" w:color="auto"/>
      </w:divBdr>
    </w:div>
    <w:div w:id="462968337">
      <w:bodyDiv w:val="1"/>
      <w:marLeft w:val="0"/>
      <w:marRight w:val="0"/>
      <w:marTop w:val="0"/>
      <w:marBottom w:val="0"/>
      <w:divBdr>
        <w:top w:val="none" w:sz="0" w:space="0" w:color="auto"/>
        <w:left w:val="none" w:sz="0" w:space="0" w:color="auto"/>
        <w:bottom w:val="none" w:sz="0" w:space="0" w:color="auto"/>
        <w:right w:val="none" w:sz="0" w:space="0" w:color="auto"/>
      </w:divBdr>
    </w:div>
    <w:div w:id="486752900">
      <w:bodyDiv w:val="1"/>
      <w:marLeft w:val="0"/>
      <w:marRight w:val="0"/>
      <w:marTop w:val="0"/>
      <w:marBottom w:val="0"/>
      <w:divBdr>
        <w:top w:val="none" w:sz="0" w:space="0" w:color="auto"/>
        <w:left w:val="none" w:sz="0" w:space="0" w:color="auto"/>
        <w:bottom w:val="none" w:sz="0" w:space="0" w:color="auto"/>
        <w:right w:val="none" w:sz="0" w:space="0" w:color="auto"/>
      </w:divBdr>
    </w:div>
    <w:div w:id="665477832">
      <w:bodyDiv w:val="1"/>
      <w:marLeft w:val="0"/>
      <w:marRight w:val="0"/>
      <w:marTop w:val="0"/>
      <w:marBottom w:val="0"/>
      <w:divBdr>
        <w:top w:val="none" w:sz="0" w:space="0" w:color="auto"/>
        <w:left w:val="none" w:sz="0" w:space="0" w:color="auto"/>
        <w:bottom w:val="none" w:sz="0" w:space="0" w:color="auto"/>
        <w:right w:val="none" w:sz="0" w:space="0" w:color="auto"/>
      </w:divBdr>
    </w:div>
    <w:div w:id="727533411">
      <w:bodyDiv w:val="1"/>
      <w:marLeft w:val="0"/>
      <w:marRight w:val="0"/>
      <w:marTop w:val="0"/>
      <w:marBottom w:val="0"/>
      <w:divBdr>
        <w:top w:val="none" w:sz="0" w:space="0" w:color="auto"/>
        <w:left w:val="none" w:sz="0" w:space="0" w:color="auto"/>
        <w:bottom w:val="none" w:sz="0" w:space="0" w:color="auto"/>
        <w:right w:val="none" w:sz="0" w:space="0" w:color="auto"/>
      </w:divBdr>
    </w:div>
    <w:div w:id="837422721">
      <w:bodyDiv w:val="1"/>
      <w:marLeft w:val="0"/>
      <w:marRight w:val="0"/>
      <w:marTop w:val="0"/>
      <w:marBottom w:val="0"/>
      <w:divBdr>
        <w:top w:val="none" w:sz="0" w:space="0" w:color="auto"/>
        <w:left w:val="none" w:sz="0" w:space="0" w:color="auto"/>
        <w:bottom w:val="none" w:sz="0" w:space="0" w:color="auto"/>
        <w:right w:val="none" w:sz="0" w:space="0" w:color="auto"/>
      </w:divBdr>
    </w:div>
    <w:div w:id="908491791">
      <w:bodyDiv w:val="1"/>
      <w:marLeft w:val="0"/>
      <w:marRight w:val="0"/>
      <w:marTop w:val="0"/>
      <w:marBottom w:val="0"/>
      <w:divBdr>
        <w:top w:val="none" w:sz="0" w:space="0" w:color="auto"/>
        <w:left w:val="none" w:sz="0" w:space="0" w:color="auto"/>
        <w:bottom w:val="none" w:sz="0" w:space="0" w:color="auto"/>
        <w:right w:val="none" w:sz="0" w:space="0" w:color="auto"/>
      </w:divBdr>
    </w:div>
    <w:div w:id="1001204044">
      <w:bodyDiv w:val="1"/>
      <w:marLeft w:val="0"/>
      <w:marRight w:val="0"/>
      <w:marTop w:val="0"/>
      <w:marBottom w:val="0"/>
      <w:divBdr>
        <w:top w:val="none" w:sz="0" w:space="0" w:color="auto"/>
        <w:left w:val="none" w:sz="0" w:space="0" w:color="auto"/>
        <w:bottom w:val="none" w:sz="0" w:space="0" w:color="auto"/>
        <w:right w:val="none" w:sz="0" w:space="0" w:color="auto"/>
      </w:divBdr>
    </w:div>
    <w:div w:id="1052653667">
      <w:bodyDiv w:val="1"/>
      <w:marLeft w:val="0"/>
      <w:marRight w:val="0"/>
      <w:marTop w:val="0"/>
      <w:marBottom w:val="0"/>
      <w:divBdr>
        <w:top w:val="none" w:sz="0" w:space="0" w:color="auto"/>
        <w:left w:val="none" w:sz="0" w:space="0" w:color="auto"/>
        <w:bottom w:val="none" w:sz="0" w:space="0" w:color="auto"/>
        <w:right w:val="none" w:sz="0" w:space="0" w:color="auto"/>
      </w:divBdr>
    </w:div>
    <w:div w:id="1185052700">
      <w:bodyDiv w:val="1"/>
      <w:marLeft w:val="0"/>
      <w:marRight w:val="0"/>
      <w:marTop w:val="0"/>
      <w:marBottom w:val="0"/>
      <w:divBdr>
        <w:top w:val="none" w:sz="0" w:space="0" w:color="auto"/>
        <w:left w:val="none" w:sz="0" w:space="0" w:color="auto"/>
        <w:bottom w:val="none" w:sz="0" w:space="0" w:color="auto"/>
        <w:right w:val="none" w:sz="0" w:space="0" w:color="auto"/>
      </w:divBdr>
    </w:div>
    <w:div w:id="1532961655">
      <w:bodyDiv w:val="1"/>
      <w:marLeft w:val="0"/>
      <w:marRight w:val="0"/>
      <w:marTop w:val="0"/>
      <w:marBottom w:val="0"/>
      <w:divBdr>
        <w:top w:val="none" w:sz="0" w:space="0" w:color="auto"/>
        <w:left w:val="none" w:sz="0" w:space="0" w:color="auto"/>
        <w:bottom w:val="none" w:sz="0" w:space="0" w:color="auto"/>
        <w:right w:val="none" w:sz="0" w:space="0" w:color="auto"/>
      </w:divBdr>
    </w:div>
    <w:div w:id="1538854631">
      <w:bodyDiv w:val="1"/>
      <w:marLeft w:val="0"/>
      <w:marRight w:val="0"/>
      <w:marTop w:val="0"/>
      <w:marBottom w:val="0"/>
      <w:divBdr>
        <w:top w:val="none" w:sz="0" w:space="0" w:color="auto"/>
        <w:left w:val="none" w:sz="0" w:space="0" w:color="auto"/>
        <w:bottom w:val="none" w:sz="0" w:space="0" w:color="auto"/>
        <w:right w:val="none" w:sz="0" w:space="0" w:color="auto"/>
      </w:divBdr>
    </w:div>
    <w:div w:id="1659771254">
      <w:bodyDiv w:val="1"/>
      <w:marLeft w:val="0"/>
      <w:marRight w:val="0"/>
      <w:marTop w:val="0"/>
      <w:marBottom w:val="0"/>
      <w:divBdr>
        <w:top w:val="none" w:sz="0" w:space="0" w:color="auto"/>
        <w:left w:val="none" w:sz="0" w:space="0" w:color="auto"/>
        <w:bottom w:val="none" w:sz="0" w:space="0" w:color="auto"/>
        <w:right w:val="none" w:sz="0" w:space="0" w:color="auto"/>
      </w:divBdr>
    </w:div>
    <w:div w:id="1682927688">
      <w:bodyDiv w:val="1"/>
      <w:marLeft w:val="0"/>
      <w:marRight w:val="0"/>
      <w:marTop w:val="0"/>
      <w:marBottom w:val="0"/>
      <w:divBdr>
        <w:top w:val="none" w:sz="0" w:space="0" w:color="auto"/>
        <w:left w:val="none" w:sz="0" w:space="0" w:color="auto"/>
        <w:bottom w:val="none" w:sz="0" w:space="0" w:color="auto"/>
        <w:right w:val="none" w:sz="0" w:space="0" w:color="auto"/>
      </w:divBdr>
    </w:div>
    <w:div w:id="1694258387">
      <w:bodyDiv w:val="1"/>
      <w:marLeft w:val="0"/>
      <w:marRight w:val="0"/>
      <w:marTop w:val="0"/>
      <w:marBottom w:val="0"/>
      <w:divBdr>
        <w:top w:val="none" w:sz="0" w:space="0" w:color="auto"/>
        <w:left w:val="none" w:sz="0" w:space="0" w:color="auto"/>
        <w:bottom w:val="none" w:sz="0" w:space="0" w:color="auto"/>
        <w:right w:val="none" w:sz="0" w:space="0" w:color="auto"/>
      </w:divBdr>
    </w:div>
    <w:div w:id="1799758599">
      <w:bodyDiv w:val="1"/>
      <w:marLeft w:val="0"/>
      <w:marRight w:val="0"/>
      <w:marTop w:val="0"/>
      <w:marBottom w:val="0"/>
      <w:divBdr>
        <w:top w:val="none" w:sz="0" w:space="0" w:color="auto"/>
        <w:left w:val="none" w:sz="0" w:space="0" w:color="auto"/>
        <w:bottom w:val="none" w:sz="0" w:space="0" w:color="auto"/>
        <w:right w:val="none" w:sz="0" w:space="0" w:color="auto"/>
      </w:divBdr>
    </w:div>
    <w:div w:id="1809282496">
      <w:bodyDiv w:val="1"/>
      <w:marLeft w:val="0"/>
      <w:marRight w:val="0"/>
      <w:marTop w:val="0"/>
      <w:marBottom w:val="0"/>
      <w:divBdr>
        <w:top w:val="none" w:sz="0" w:space="0" w:color="auto"/>
        <w:left w:val="none" w:sz="0" w:space="0" w:color="auto"/>
        <w:bottom w:val="none" w:sz="0" w:space="0" w:color="auto"/>
        <w:right w:val="none" w:sz="0" w:space="0" w:color="auto"/>
      </w:divBdr>
    </w:div>
    <w:div w:id="183587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nsport.ec.europa.eu/transport-themes/smart-mobility/road/its-directive-and-action-plan/safety-related-traffic-information-srti-real-time-traffic-information-rtti_en" TargetMode="External"/><Relationship Id="rId18" Type="http://schemas.openxmlformats.org/officeDocument/2006/relationships/hyperlink" Target="https://github.com/MobilityData/gbfs/blob/master/gbfs.m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europa.eu/mqa/methodology?locale=en" TargetMode="External"/><Relationship Id="rId7" Type="http://schemas.openxmlformats.org/officeDocument/2006/relationships/settings" Target="settings.xml"/><Relationship Id="rId12" Type="http://schemas.openxmlformats.org/officeDocument/2006/relationships/hyperlink" Target="https://eur-lex.europa.eu/eli/reg_del/2022/670/oj" TargetMode="External"/><Relationship Id="rId17" Type="http://schemas.openxmlformats.org/officeDocument/2006/relationships/hyperlink" Target="https://github.com/MobilityData/gbf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bfs.org/" TargetMode="External"/><Relationship Id="rId20" Type="http://schemas.openxmlformats.org/officeDocument/2006/relationships/hyperlink" Target="https://gbf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lex.europa.eu/eli/reg_del/2015/962/oj"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napcore.eu/wp-content/uploads/2025/05/DD_2022_670.pdf" TargetMode="External"/><Relationship Id="rId23" Type="http://schemas.openxmlformats.org/officeDocument/2006/relationships/hyperlink" Target="https://transportportal.no/" TargetMode="External"/><Relationship Id="rId10" Type="http://schemas.openxmlformats.org/officeDocument/2006/relationships/image" Target="media/image2.png"/><Relationship Id="rId19" Type="http://schemas.openxmlformats.org/officeDocument/2006/relationships/hyperlink" Target="https://github.com/MobilityData/gbfs/blob/master/systems.csv"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cs.datex2.eu/recommended-profiles/rrp/rtti/" TargetMode="External"/><Relationship Id="rId22" Type="http://schemas.openxmlformats.org/officeDocument/2006/relationships/hyperlink" Target="https://data.europa.eu/mqa/shacl-validator-ui/data-provisio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Props1.xml><?xml version="1.0" encoding="utf-8"?>
<ds:datastoreItem xmlns:ds="http://schemas.openxmlformats.org/officeDocument/2006/customXml" ds:itemID="{7A773993-FE7F-4058-AF21-0FFD0B60EFD8}">
  <ds:schemaRefs>
    <ds:schemaRef ds:uri="http://schemas.openxmlformats.org/officeDocument/2006/bibliography"/>
  </ds:schemaRefs>
</ds:datastoreItem>
</file>

<file path=customXml/itemProps2.xml><?xml version="1.0" encoding="utf-8"?>
<ds:datastoreItem xmlns:ds="http://schemas.openxmlformats.org/officeDocument/2006/customXml" ds:itemID="{5A6202C4-1EB8-4292-A571-7244BC28D7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50BCE0-157A-49E6-AD67-3488FF647508}">
  <ds:schemaRefs>
    <ds:schemaRef ds:uri="http://schemas.microsoft.com/sharepoint/v3/contenttype/forms"/>
  </ds:schemaRefs>
</ds:datastoreItem>
</file>

<file path=customXml/itemProps4.xml><?xml version="1.0" encoding="utf-8"?>
<ds:datastoreItem xmlns:ds="http://schemas.openxmlformats.org/officeDocument/2006/customXml" ds:itemID="{306A702C-1F3C-4AEC-A05B-305C69230F0E}">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8</Pages>
  <Words>1681</Words>
  <Characters>9920</Characters>
  <Application>Microsoft Office Word</Application>
  <DocSecurity>0</DocSecurity>
  <Lines>82</Lines>
  <Paragraphs>23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Bureš (CZ/TTR)</dc:creator>
  <cp:keywords/>
  <dc:description/>
  <cp:lastModifiedBy>Petr Bureš (CZ/TTR)</cp:lastModifiedBy>
  <cp:revision>54</cp:revision>
  <dcterms:created xsi:type="dcterms:W3CDTF">2025-01-24T10:35:00Z</dcterms:created>
  <dcterms:modified xsi:type="dcterms:W3CDTF">2025-06-16T15:59:00Z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