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E15" w:rsidRDefault="00665E15" w:rsidP="001D3968">
      <w:pPr>
        <w:pStyle w:val="Heading1"/>
      </w:pPr>
      <w:r>
        <w:t xml:space="preserve">CODEX </w:t>
      </w:r>
      <w:r w:rsidR="0099122A">
        <w:t xml:space="preserve">core </w:t>
      </w:r>
      <w:r>
        <w:t>use cases</w:t>
      </w:r>
    </w:p>
    <w:p w:rsidR="007F4224" w:rsidRDefault="007F4224" w:rsidP="007F4224">
      <w:r>
        <w:t>This document contains the “key path” scenarios. The intent is to describe the primary user</w:t>
      </w:r>
      <w:r w:rsidR="009C4A58">
        <w:t>-</w:t>
      </w:r>
      <w:r>
        <w:t>flow through the application so that completeness can be tested before launch.</w:t>
      </w:r>
    </w:p>
    <w:p w:rsidR="00D66042" w:rsidRPr="007F4224" w:rsidRDefault="00D66042" w:rsidP="007F4224"/>
    <w:p w:rsidR="00665E15" w:rsidRPr="00665E15" w:rsidRDefault="00665E15" w:rsidP="00665E15"/>
    <w:p w:rsidR="00CA5CDF" w:rsidRDefault="00583522" w:rsidP="003A7FB9">
      <w:pPr>
        <w:pStyle w:val="Heading2"/>
      </w:pPr>
      <w:r>
        <w:t>CODEX “stability release” (1) key path scenario</w:t>
      </w:r>
    </w:p>
    <w:p w:rsidR="00583522" w:rsidRDefault="008977CB" w:rsidP="00583522">
      <w:r>
        <w:t xml:space="preserve">The user goes to codex.jpl.nasa.gov and sees the CODEX user-interface. User Imports a file and decides to load the </w:t>
      </w:r>
      <w:proofErr w:type="spellStart"/>
      <w:r w:rsidR="00675AE5">
        <w:t>C</w:t>
      </w:r>
      <w:r>
        <w:t>hemcam</w:t>
      </w:r>
      <w:proofErr w:type="spellEnd"/>
      <w:r>
        <w:t xml:space="preserve"> demo data to explore.</w:t>
      </w:r>
    </w:p>
    <w:p w:rsidR="008977CB" w:rsidRDefault="008977CB" w:rsidP="00583522"/>
    <w:p w:rsidR="008977CB" w:rsidRDefault="008977CB" w:rsidP="00583522">
      <w:r>
        <w:t xml:space="preserve">The user starts by selecting a few pairs of data to draw as Scatterplots and Heat Maps: </w:t>
      </w:r>
      <w:proofErr w:type="spellStart"/>
      <w:r>
        <w:t>Ti</w:t>
      </w:r>
      <w:proofErr w:type="spellEnd"/>
      <w:r w:rsidR="00675AE5">
        <w:t xml:space="preserve"> vs. [</w:t>
      </w:r>
      <w:r>
        <w:t>Al, Fe, Mg</w:t>
      </w:r>
      <w:r w:rsidR="00675AE5">
        <w:t>]</w:t>
      </w:r>
      <w:r>
        <w:t>.</w:t>
      </w:r>
      <w:r w:rsidR="00675AE5">
        <w:t xml:space="preserve">  User will explore a few outlier data points to compare across the various </w:t>
      </w:r>
      <w:r w:rsidR="00061243">
        <w:t>Scatterplots</w:t>
      </w:r>
      <w:r w:rsidR="005A5F77">
        <w:t xml:space="preserve"> by circling them and seeing where the groups lie across other graphs.</w:t>
      </w:r>
    </w:p>
    <w:p w:rsidR="008977CB" w:rsidRDefault="008977CB" w:rsidP="00583522"/>
    <w:p w:rsidR="00061243" w:rsidRDefault="00061243" w:rsidP="00583522">
      <w:r>
        <w:t>Then user will activate all four (or more) chemical species and perform Clustering.  On the Cluster preview page, user will choose help for one or more of the algorithms.  User will choose one of the clustering algorithms and select execution parameters and outputs.</w:t>
      </w:r>
    </w:p>
    <w:p w:rsidR="00061243" w:rsidRDefault="00061243" w:rsidP="00583522"/>
    <w:p w:rsidR="00061243" w:rsidRDefault="00061243" w:rsidP="00583522">
      <w:r>
        <w:t>After Clustering completes, the user will re-color some of the Scatterplots using the new clusters that were created.</w:t>
      </w:r>
    </w:p>
    <w:p w:rsidR="00B91860" w:rsidRDefault="00B91860" w:rsidP="00766881"/>
    <w:p w:rsidR="00F96F60" w:rsidRDefault="00F96F60" w:rsidP="004E1082">
      <w:pPr>
        <w:pStyle w:val="Heading3"/>
      </w:pPr>
    </w:p>
    <w:p w:rsidR="004E1082" w:rsidRDefault="004E1082" w:rsidP="004E1082">
      <w:pPr>
        <w:pStyle w:val="Heading3"/>
      </w:pPr>
      <w:r>
        <w:t>Key path scenario</w:t>
      </w:r>
    </w:p>
    <w:p w:rsidR="004E5738" w:rsidRDefault="004E5738" w:rsidP="00766881">
      <w:r>
        <w:t>1. Open the URL</w:t>
      </w:r>
    </w:p>
    <w:p w:rsidR="004E1082" w:rsidRDefault="004E5738" w:rsidP="00766881">
      <w:r>
        <w:rPr>
          <w:noProof/>
        </w:rPr>
        <w:drawing>
          <wp:inline distT="0" distB="0" distL="0" distR="0">
            <wp:extent cx="2322181" cy="141439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1-30 at 5.32.56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27536" cy="1417659"/>
                    </a:xfrm>
                    <a:prstGeom prst="rect">
                      <a:avLst/>
                    </a:prstGeom>
                  </pic:spPr>
                </pic:pic>
              </a:graphicData>
            </a:graphic>
          </wp:inline>
        </w:drawing>
      </w:r>
    </w:p>
    <w:p w:rsidR="004E5738" w:rsidRDefault="004E5738" w:rsidP="00766881"/>
    <w:p w:rsidR="004E5738" w:rsidRDefault="004E5738" w:rsidP="00766881">
      <w:r>
        <w:t>2. Open ChemCam example data</w:t>
      </w:r>
    </w:p>
    <w:p w:rsidR="004E5738" w:rsidRDefault="004E5738" w:rsidP="00766881">
      <w:r>
        <w:rPr>
          <w:noProof/>
        </w:rPr>
        <w:drawing>
          <wp:inline distT="0" distB="0" distL="0" distR="0">
            <wp:extent cx="2322119" cy="141435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30 at 5.33.0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8524" cy="1424351"/>
                    </a:xfrm>
                    <a:prstGeom prst="rect">
                      <a:avLst/>
                    </a:prstGeom>
                  </pic:spPr>
                </pic:pic>
              </a:graphicData>
            </a:graphic>
          </wp:inline>
        </w:drawing>
      </w:r>
    </w:p>
    <w:p w:rsidR="004E5738" w:rsidRDefault="004E5738" w:rsidP="00766881"/>
    <w:p w:rsidR="0090250B" w:rsidRDefault="0090250B">
      <w:r>
        <w:br w:type="page"/>
      </w:r>
    </w:p>
    <w:p w:rsidR="004E5738" w:rsidRDefault="004E5738" w:rsidP="00766881">
      <w:bookmarkStart w:id="0" w:name="_GoBack"/>
      <w:bookmarkEnd w:id="0"/>
      <w:r>
        <w:lastRenderedPageBreak/>
        <w:t xml:space="preserve">3. </w:t>
      </w:r>
      <w:r w:rsidR="00F2678E">
        <w:t>Make some scatter plots</w:t>
      </w:r>
    </w:p>
    <w:p w:rsidR="00AE5A2D" w:rsidRDefault="00F2678E" w:rsidP="00766881">
      <w:r>
        <w:rPr>
          <w:noProof/>
        </w:rPr>
        <w:drawing>
          <wp:inline distT="0" distB="0" distL="0" distR="0">
            <wp:extent cx="2732541" cy="1664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30 at 5.33.2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0855" cy="1669403"/>
                    </a:xfrm>
                    <a:prstGeom prst="rect">
                      <a:avLst/>
                    </a:prstGeom>
                  </pic:spPr>
                </pic:pic>
              </a:graphicData>
            </a:graphic>
          </wp:inline>
        </w:drawing>
      </w:r>
      <w:r w:rsidR="00AE5A2D">
        <w:t xml:space="preserve"> </w:t>
      </w:r>
      <w:r w:rsidR="00AE5A2D">
        <w:rPr>
          <w:noProof/>
        </w:rPr>
        <w:drawing>
          <wp:inline distT="0" distB="0" distL="0" distR="0">
            <wp:extent cx="2683994" cy="163477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30 at 5.33.5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9020" cy="1637831"/>
                    </a:xfrm>
                    <a:prstGeom prst="rect">
                      <a:avLst/>
                    </a:prstGeom>
                  </pic:spPr>
                </pic:pic>
              </a:graphicData>
            </a:graphic>
          </wp:inline>
        </w:drawing>
      </w:r>
    </w:p>
    <w:p w:rsidR="00AE5A2D" w:rsidRDefault="00AE5A2D" w:rsidP="00766881"/>
    <w:p w:rsidR="00B57114" w:rsidRDefault="00B57114" w:rsidP="00766881">
      <w:r>
        <w:t>4. Circle an interesting outlier and see how it falls across each scatter.</w:t>
      </w:r>
    </w:p>
    <w:p w:rsidR="00425544" w:rsidRDefault="005648EA" w:rsidP="00766881">
      <w:r>
        <w:rPr>
          <w:noProof/>
        </w:rPr>
        <w:drawing>
          <wp:inline distT="0" distB="0" distL="0" distR="0">
            <wp:extent cx="4150981" cy="252828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1-30 at 6.00.0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3087" cy="2529567"/>
                    </a:xfrm>
                    <a:prstGeom prst="rect">
                      <a:avLst/>
                    </a:prstGeom>
                  </pic:spPr>
                </pic:pic>
              </a:graphicData>
            </a:graphic>
          </wp:inline>
        </w:drawing>
      </w:r>
    </w:p>
    <w:p w:rsidR="00D51867" w:rsidRDefault="00D51867" w:rsidP="00766881"/>
    <w:p w:rsidR="0090250B" w:rsidRDefault="0090250B">
      <w:r>
        <w:br w:type="page"/>
      </w:r>
    </w:p>
    <w:p w:rsidR="00AE5A2D" w:rsidRDefault="00B57114" w:rsidP="00766881">
      <w:r>
        <w:lastRenderedPageBreak/>
        <w:t>5</w:t>
      </w:r>
      <w:r w:rsidR="00AE5A2D">
        <w:t>. Run clustering on all four (or more) Features</w:t>
      </w:r>
    </w:p>
    <w:p w:rsidR="00AE5A2D" w:rsidRDefault="00AE5A2D" w:rsidP="00766881">
      <w:r>
        <w:rPr>
          <w:noProof/>
        </w:rPr>
        <w:drawing>
          <wp:inline distT="0" distB="0" distL="0" distR="0">
            <wp:extent cx="2703729" cy="1646791"/>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30 at 5.34.5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9864" cy="1656619"/>
                    </a:xfrm>
                    <a:prstGeom prst="rect">
                      <a:avLst/>
                    </a:prstGeom>
                  </pic:spPr>
                </pic:pic>
              </a:graphicData>
            </a:graphic>
          </wp:inline>
        </w:drawing>
      </w:r>
      <w:r>
        <w:t xml:space="preserve"> </w:t>
      </w:r>
      <w:r>
        <w:rPr>
          <w:noProof/>
        </w:rPr>
        <w:drawing>
          <wp:inline distT="0" distB="0" distL="0" distR="0">
            <wp:extent cx="2683994" cy="163477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1-30 at 5.36.2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5583" cy="1635738"/>
                    </a:xfrm>
                    <a:prstGeom prst="rect">
                      <a:avLst/>
                    </a:prstGeom>
                  </pic:spPr>
                </pic:pic>
              </a:graphicData>
            </a:graphic>
          </wp:inline>
        </w:drawing>
      </w:r>
    </w:p>
    <w:p w:rsidR="00AE5A2D" w:rsidRDefault="00AE5A2D" w:rsidP="00766881"/>
    <w:p w:rsidR="00AE5A2D" w:rsidRDefault="00AE5A2D" w:rsidP="00766881">
      <w:r>
        <w:rPr>
          <w:noProof/>
        </w:rPr>
        <w:drawing>
          <wp:inline distT="0" distB="0" distL="0" distR="0">
            <wp:extent cx="2700139" cy="164460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1-30 at 5.36.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6330" cy="1654466"/>
                    </a:xfrm>
                    <a:prstGeom prst="rect">
                      <a:avLst/>
                    </a:prstGeom>
                  </pic:spPr>
                </pic:pic>
              </a:graphicData>
            </a:graphic>
          </wp:inline>
        </w:drawing>
      </w:r>
      <w:r>
        <w:t xml:space="preserve"> </w:t>
      </w:r>
      <w:r>
        <w:rPr>
          <w:noProof/>
        </w:rPr>
        <w:drawing>
          <wp:inline distT="0" distB="0" distL="0" distR="0">
            <wp:extent cx="2689339" cy="1638026"/>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1-30 at 5.36.4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4143" cy="1647043"/>
                    </a:xfrm>
                    <a:prstGeom prst="rect">
                      <a:avLst/>
                    </a:prstGeom>
                  </pic:spPr>
                </pic:pic>
              </a:graphicData>
            </a:graphic>
          </wp:inline>
        </w:drawing>
      </w:r>
    </w:p>
    <w:p w:rsidR="00AE5A2D" w:rsidRDefault="00AE5A2D" w:rsidP="00766881"/>
    <w:p w:rsidR="00720B77" w:rsidRDefault="00B57114" w:rsidP="00766881">
      <w:r>
        <w:t>6</w:t>
      </w:r>
      <w:r w:rsidR="004B26E6">
        <w:t>. Color original scatter plots by the new clusters</w:t>
      </w:r>
      <w:r w:rsidR="00C34666">
        <w:t>. Tile windows.</w:t>
      </w:r>
    </w:p>
    <w:p w:rsidR="004B26E6" w:rsidRDefault="00C34666" w:rsidP="00766881">
      <w:r>
        <w:rPr>
          <w:noProof/>
        </w:rPr>
        <w:drawing>
          <wp:inline distT="0" distB="0" distL="0" distR="0">
            <wp:extent cx="2670837" cy="16267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1-30 at 5.37.4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4337" cy="1634980"/>
                    </a:xfrm>
                    <a:prstGeom prst="rect">
                      <a:avLst/>
                    </a:prstGeom>
                  </pic:spPr>
                </pic:pic>
              </a:graphicData>
            </a:graphic>
          </wp:inline>
        </w:drawing>
      </w:r>
      <w:r>
        <w:t xml:space="preserve"> </w:t>
      </w:r>
      <w:r w:rsidR="00AA2DB1">
        <w:rPr>
          <w:noProof/>
        </w:rPr>
        <w:drawing>
          <wp:inline distT="0" distB="0" distL="0" distR="0">
            <wp:extent cx="2703729" cy="1646791"/>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1-30 at 5.38.0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5126" cy="1659824"/>
                    </a:xfrm>
                    <a:prstGeom prst="rect">
                      <a:avLst/>
                    </a:prstGeom>
                  </pic:spPr>
                </pic:pic>
              </a:graphicData>
            </a:graphic>
          </wp:inline>
        </w:drawing>
      </w:r>
    </w:p>
    <w:p w:rsidR="00AA2DB1" w:rsidRDefault="00AA2DB1" w:rsidP="00766881"/>
    <w:p w:rsidR="00AA2DB1" w:rsidRPr="00766881" w:rsidRDefault="00AA2DB1" w:rsidP="00766881"/>
    <w:sectPr w:rsidR="00AA2DB1" w:rsidRPr="00766881" w:rsidSect="00AB18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3"/>
  <w:doNotDisplayPageBoundaries/>
  <w:activeWritingStyle w:appName="MSWord" w:lang="en-US" w:vendorID="64" w:dllVersion="6" w:nlCheck="1" w:checkStyle="0"/>
  <w:activeWritingStyle w:appName="MSWord" w:lang="en-US" w:vendorID="64" w:dllVersion="4096" w:nlCheck="1" w:checkStyle="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522"/>
    <w:rsid w:val="00036BB0"/>
    <w:rsid w:val="00061243"/>
    <w:rsid w:val="00175BBC"/>
    <w:rsid w:val="001D3968"/>
    <w:rsid w:val="002F5064"/>
    <w:rsid w:val="00303227"/>
    <w:rsid w:val="003A7FB9"/>
    <w:rsid w:val="00425544"/>
    <w:rsid w:val="004B26E6"/>
    <w:rsid w:val="004E1082"/>
    <w:rsid w:val="004E5738"/>
    <w:rsid w:val="005648EA"/>
    <w:rsid w:val="00583522"/>
    <w:rsid w:val="005A5F77"/>
    <w:rsid w:val="0060083D"/>
    <w:rsid w:val="00665E15"/>
    <w:rsid w:val="00675AE5"/>
    <w:rsid w:val="00720B77"/>
    <w:rsid w:val="00766881"/>
    <w:rsid w:val="007F4224"/>
    <w:rsid w:val="00846A86"/>
    <w:rsid w:val="0085197F"/>
    <w:rsid w:val="008977CB"/>
    <w:rsid w:val="0090250B"/>
    <w:rsid w:val="0099122A"/>
    <w:rsid w:val="009C4A58"/>
    <w:rsid w:val="00AA2DB1"/>
    <w:rsid w:val="00AA36CE"/>
    <w:rsid w:val="00AB18FA"/>
    <w:rsid w:val="00AE5A2D"/>
    <w:rsid w:val="00B57114"/>
    <w:rsid w:val="00B91860"/>
    <w:rsid w:val="00C34666"/>
    <w:rsid w:val="00CA5CDF"/>
    <w:rsid w:val="00D51867"/>
    <w:rsid w:val="00D66042"/>
    <w:rsid w:val="00E4081D"/>
    <w:rsid w:val="00F2678E"/>
    <w:rsid w:val="00F96F60"/>
    <w:rsid w:val="00FB7FA1"/>
    <w:rsid w:val="00FC1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1BC6B6"/>
  <w15:chartTrackingRefBased/>
  <w15:docId w15:val="{D5591EEB-1151-044A-9291-C197707D3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36CE"/>
    <w:rPr>
      <w:rFonts w:ascii="Franklin Gothic Book" w:hAnsi="Franklin Gothic Book"/>
    </w:rPr>
  </w:style>
  <w:style w:type="paragraph" w:styleId="Heading1">
    <w:name w:val="heading 1"/>
    <w:basedOn w:val="Normal"/>
    <w:next w:val="Normal"/>
    <w:link w:val="Heading1Char"/>
    <w:uiPriority w:val="9"/>
    <w:qFormat/>
    <w:rsid w:val="001D3968"/>
    <w:pPr>
      <w:outlineLvl w:val="0"/>
    </w:pPr>
    <w:rPr>
      <w:b/>
      <w:sz w:val="44"/>
    </w:rPr>
  </w:style>
  <w:style w:type="paragraph" w:styleId="Heading2">
    <w:name w:val="heading 2"/>
    <w:basedOn w:val="Normal"/>
    <w:next w:val="Normal"/>
    <w:link w:val="Heading2Char"/>
    <w:uiPriority w:val="9"/>
    <w:unhideWhenUsed/>
    <w:qFormat/>
    <w:rsid w:val="001D3968"/>
    <w:pPr>
      <w:outlineLvl w:val="1"/>
    </w:pPr>
    <w:rPr>
      <w:b/>
      <w:sz w:val="36"/>
    </w:rPr>
  </w:style>
  <w:style w:type="paragraph" w:styleId="Heading3">
    <w:name w:val="heading 3"/>
    <w:basedOn w:val="Normal"/>
    <w:next w:val="Normal"/>
    <w:link w:val="Heading3Char"/>
    <w:uiPriority w:val="9"/>
    <w:unhideWhenUsed/>
    <w:qFormat/>
    <w:rsid w:val="001D3968"/>
    <w:pPr>
      <w:outlineLvl w:val="2"/>
    </w:pPr>
    <w:rPr>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AA36CE"/>
    <w:rPr>
      <w:i/>
    </w:rPr>
  </w:style>
  <w:style w:type="character" w:styleId="Strong">
    <w:name w:val="Strong"/>
    <w:uiPriority w:val="22"/>
    <w:qFormat/>
    <w:rsid w:val="00AA36CE"/>
    <w:rPr>
      <w:b/>
    </w:rPr>
  </w:style>
  <w:style w:type="character" w:customStyle="1" w:styleId="Heading1Char">
    <w:name w:val="Heading 1 Char"/>
    <w:basedOn w:val="DefaultParagraphFont"/>
    <w:link w:val="Heading1"/>
    <w:uiPriority w:val="9"/>
    <w:rsid w:val="001D3968"/>
    <w:rPr>
      <w:rFonts w:ascii="Franklin Gothic Book" w:hAnsi="Franklin Gothic Book"/>
      <w:b/>
      <w:sz w:val="44"/>
    </w:rPr>
  </w:style>
  <w:style w:type="character" w:customStyle="1" w:styleId="Heading2Char">
    <w:name w:val="Heading 2 Char"/>
    <w:basedOn w:val="DefaultParagraphFont"/>
    <w:link w:val="Heading2"/>
    <w:uiPriority w:val="9"/>
    <w:rsid w:val="001D3968"/>
    <w:rPr>
      <w:rFonts w:ascii="Franklin Gothic Book" w:hAnsi="Franklin Gothic Book"/>
      <w:b/>
      <w:sz w:val="36"/>
    </w:rPr>
  </w:style>
  <w:style w:type="character" w:customStyle="1" w:styleId="Heading3Char">
    <w:name w:val="Heading 3 Char"/>
    <w:basedOn w:val="DefaultParagraphFont"/>
    <w:link w:val="Heading3"/>
    <w:uiPriority w:val="9"/>
    <w:rsid w:val="001D3968"/>
    <w:rPr>
      <w:rFonts w:ascii="Franklin Gothic Book" w:hAnsi="Franklin Gothic Book"/>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tapella/Documents/Templates/Word-Gothi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Word-Gothic.dotx</Template>
  <TotalTime>22</TotalTime>
  <Pages>3</Pages>
  <Words>202</Words>
  <Characters>1157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Tapella</dc:creator>
  <cp:keywords/>
  <dc:description/>
  <cp:lastModifiedBy>Robert Tapella</cp:lastModifiedBy>
  <cp:revision>26</cp:revision>
  <dcterms:created xsi:type="dcterms:W3CDTF">2019-01-30T23:34:00Z</dcterms:created>
  <dcterms:modified xsi:type="dcterms:W3CDTF">2019-01-31T02:00:00Z</dcterms:modified>
</cp:coreProperties>
</file>