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74FC" w:rsidRPr="006B766B" w:rsidRDefault="00F674FC" w:rsidP="00F674FC">
      <w:pPr>
        <w:pStyle w:val="Header"/>
        <w:jc w:val="center"/>
        <w:rPr>
          <w:b/>
          <w:bCs/>
          <w:sz w:val="28"/>
          <w:szCs w:val="28"/>
        </w:rPr>
      </w:pPr>
      <w:bookmarkStart w:id="0" w:name="_Hlk534365038"/>
      <w:bookmarkStart w:id="1" w:name="_Hlk534366521"/>
      <w:r w:rsidRPr="006B766B">
        <w:rPr>
          <w:b/>
          <w:bCs/>
          <w:sz w:val="28"/>
          <w:szCs w:val="28"/>
        </w:rPr>
        <w:t>Process for Submission of PDS</w:t>
      </w:r>
      <w:r w:rsidR="00C25998">
        <w:rPr>
          <w:b/>
          <w:bCs/>
          <w:sz w:val="28"/>
          <w:szCs w:val="28"/>
        </w:rPr>
        <w:t>4</w:t>
      </w:r>
      <w:r w:rsidRPr="006B766B">
        <w:rPr>
          <w:b/>
          <w:bCs/>
          <w:sz w:val="28"/>
          <w:szCs w:val="28"/>
        </w:rPr>
        <w:t xml:space="preserve"> Data to NSSDCA</w:t>
      </w:r>
    </w:p>
    <w:p w:rsidR="00F674FC" w:rsidRDefault="00F674FC" w:rsidP="00F674FC">
      <w:pPr>
        <w:widowControl w:val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</w:t>
      </w:r>
      <w:r w:rsidR="00F370CA">
        <w:rPr>
          <w:b/>
          <w:sz w:val="28"/>
          <w:szCs w:val="28"/>
        </w:rPr>
        <w:t>1.</w:t>
      </w:r>
      <w:r w:rsidR="00C25998">
        <w:rPr>
          <w:b/>
          <w:sz w:val="28"/>
          <w:szCs w:val="28"/>
        </w:rPr>
        <w:t>0</w:t>
      </w:r>
      <w:proofErr w:type="spellEnd"/>
    </w:p>
    <w:p w:rsidR="005C5403" w:rsidRPr="00062412" w:rsidRDefault="00F674FC" w:rsidP="00062412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2020-</w:t>
      </w:r>
      <w:r w:rsidR="00695E0F">
        <w:rPr>
          <w:b/>
          <w:sz w:val="28"/>
          <w:szCs w:val="28"/>
        </w:rPr>
        <w:t>07-01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418419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674FC" w:rsidRDefault="00F674FC" w:rsidP="00F674FC">
          <w:pPr>
            <w:pStyle w:val="TOCHeading"/>
            <w:keepNext w:val="0"/>
            <w:keepLines w:val="0"/>
            <w:widowControl w:val="0"/>
          </w:pPr>
          <w:r>
            <w:t>Table of Contents</w:t>
          </w:r>
        </w:p>
        <w:p w:rsidR="004B29BF" w:rsidRDefault="00F674FC">
          <w:pPr>
            <w:pStyle w:val="TOC1"/>
            <w:rPr>
              <w:rFonts w:eastAsiaTheme="minorEastAsia"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81287" w:history="1">
            <w:r w:rsidR="004B29BF" w:rsidRPr="00B14620">
              <w:rPr>
                <w:rStyle w:val="Hyperlink"/>
                <w:noProof/>
              </w:rPr>
              <w:t>1</w:t>
            </w:r>
            <w:r w:rsidR="004B29BF">
              <w:rPr>
                <w:rFonts w:eastAsiaTheme="minorEastAsia" w:cstheme="minorBidi"/>
                <w:b w:val="0"/>
                <w:noProof/>
              </w:rPr>
              <w:tab/>
            </w:r>
            <w:r w:rsidR="004B29BF" w:rsidRPr="00B14620">
              <w:rPr>
                <w:rStyle w:val="Hyperlink"/>
                <w:noProof/>
              </w:rPr>
              <w:t>Introduction</w:t>
            </w:r>
            <w:r w:rsidR="004B29BF">
              <w:rPr>
                <w:noProof/>
                <w:webHidden/>
              </w:rPr>
              <w:tab/>
            </w:r>
            <w:r w:rsidR="004B29BF">
              <w:rPr>
                <w:noProof/>
                <w:webHidden/>
              </w:rPr>
              <w:fldChar w:fldCharType="begin"/>
            </w:r>
            <w:r w:rsidR="004B29BF">
              <w:rPr>
                <w:noProof/>
                <w:webHidden/>
              </w:rPr>
              <w:instrText xml:space="preserve"> PAGEREF _Toc42781287 \h </w:instrText>
            </w:r>
            <w:r w:rsidR="004B29BF">
              <w:rPr>
                <w:noProof/>
                <w:webHidden/>
              </w:rPr>
            </w:r>
            <w:r w:rsidR="004B29BF">
              <w:rPr>
                <w:noProof/>
                <w:webHidden/>
              </w:rPr>
              <w:fldChar w:fldCharType="separate"/>
            </w:r>
            <w:r w:rsidR="004B29BF">
              <w:rPr>
                <w:noProof/>
                <w:webHidden/>
              </w:rPr>
              <w:t>1</w:t>
            </w:r>
            <w:r w:rsidR="004B29BF">
              <w:rPr>
                <w:noProof/>
                <w:webHidden/>
              </w:rPr>
              <w:fldChar w:fldCharType="end"/>
            </w:r>
          </w:hyperlink>
        </w:p>
        <w:p w:rsidR="004B29BF" w:rsidRDefault="00DF691E">
          <w:pPr>
            <w:pStyle w:val="TOC2"/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2781288" w:history="1">
            <w:r w:rsidR="004B29BF" w:rsidRPr="00B14620">
              <w:rPr>
                <w:rStyle w:val="Hyperlink"/>
                <w:noProof/>
              </w:rPr>
              <w:t>1.1</w:t>
            </w:r>
            <w:r w:rsidR="004B29BF"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="004B29BF" w:rsidRPr="00B14620">
              <w:rPr>
                <w:rStyle w:val="Hyperlink"/>
                <w:noProof/>
              </w:rPr>
              <w:t>Purpose</w:t>
            </w:r>
            <w:r w:rsidR="004B29BF">
              <w:rPr>
                <w:noProof/>
                <w:webHidden/>
              </w:rPr>
              <w:tab/>
            </w:r>
            <w:r w:rsidR="004B29BF">
              <w:rPr>
                <w:noProof/>
                <w:webHidden/>
              </w:rPr>
              <w:fldChar w:fldCharType="begin"/>
            </w:r>
            <w:r w:rsidR="004B29BF">
              <w:rPr>
                <w:noProof/>
                <w:webHidden/>
              </w:rPr>
              <w:instrText xml:space="preserve"> PAGEREF _Toc42781288 \h </w:instrText>
            </w:r>
            <w:r w:rsidR="004B29BF">
              <w:rPr>
                <w:noProof/>
                <w:webHidden/>
              </w:rPr>
            </w:r>
            <w:r w:rsidR="004B29BF">
              <w:rPr>
                <w:noProof/>
                <w:webHidden/>
              </w:rPr>
              <w:fldChar w:fldCharType="separate"/>
            </w:r>
            <w:r w:rsidR="004B29BF">
              <w:rPr>
                <w:noProof/>
                <w:webHidden/>
              </w:rPr>
              <w:t>1</w:t>
            </w:r>
            <w:r w:rsidR="004B29BF">
              <w:rPr>
                <w:noProof/>
                <w:webHidden/>
              </w:rPr>
              <w:fldChar w:fldCharType="end"/>
            </w:r>
          </w:hyperlink>
        </w:p>
        <w:p w:rsidR="004B29BF" w:rsidRDefault="00DF691E">
          <w:pPr>
            <w:pStyle w:val="TOC2"/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2781289" w:history="1">
            <w:r w:rsidR="004B29BF" w:rsidRPr="00B14620">
              <w:rPr>
                <w:rStyle w:val="Hyperlink"/>
                <w:noProof/>
              </w:rPr>
              <w:t>1.2</w:t>
            </w:r>
            <w:r w:rsidR="004B29BF"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="004B29BF" w:rsidRPr="00B14620">
              <w:rPr>
                <w:rStyle w:val="Hyperlink"/>
                <w:noProof/>
              </w:rPr>
              <w:t>Actors</w:t>
            </w:r>
            <w:r w:rsidR="004B29BF">
              <w:rPr>
                <w:noProof/>
                <w:webHidden/>
              </w:rPr>
              <w:tab/>
            </w:r>
            <w:r w:rsidR="004B29BF">
              <w:rPr>
                <w:noProof/>
                <w:webHidden/>
              </w:rPr>
              <w:fldChar w:fldCharType="begin"/>
            </w:r>
            <w:r w:rsidR="004B29BF">
              <w:rPr>
                <w:noProof/>
                <w:webHidden/>
              </w:rPr>
              <w:instrText xml:space="preserve"> PAGEREF _Toc42781289 \h </w:instrText>
            </w:r>
            <w:r w:rsidR="004B29BF">
              <w:rPr>
                <w:noProof/>
                <w:webHidden/>
              </w:rPr>
            </w:r>
            <w:r w:rsidR="004B29BF">
              <w:rPr>
                <w:noProof/>
                <w:webHidden/>
              </w:rPr>
              <w:fldChar w:fldCharType="separate"/>
            </w:r>
            <w:r w:rsidR="004B29BF">
              <w:rPr>
                <w:noProof/>
                <w:webHidden/>
              </w:rPr>
              <w:t>1</w:t>
            </w:r>
            <w:r w:rsidR="004B29BF">
              <w:rPr>
                <w:noProof/>
                <w:webHidden/>
              </w:rPr>
              <w:fldChar w:fldCharType="end"/>
            </w:r>
          </w:hyperlink>
        </w:p>
        <w:p w:rsidR="004B29BF" w:rsidRDefault="00DF691E">
          <w:pPr>
            <w:pStyle w:val="TOC1"/>
            <w:rPr>
              <w:rFonts w:eastAsiaTheme="minorEastAsia" w:cstheme="minorBidi"/>
              <w:b w:val="0"/>
              <w:noProof/>
            </w:rPr>
          </w:pPr>
          <w:hyperlink w:anchor="_Toc42781290" w:history="1">
            <w:r w:rsidR="004B29BF" w:rsidRPr="00B14620">
              <w:rPr>
                <w:rStyle w:val="Hyperlink"/>
                <w:noProof/>
              </w:rPr>
              <w:t>2</w:t>
            </w:r>
            <w:r w:rsidR="004B29BF">
              <w:rPr>
                <w:rFonts w:eastAsiaTheme="minorEastAsia" w:cstheme="minorBidi"/>
                <w:b w:val="0"/>
                <w:noProof/>
              </w:rPr>
              <w:tab/>
            </w:r>
            <w:r w:rsidR="004B29BF" w:rsidRPr="00B14620">
              <w:rPr>
                <w:rStyle w:val="Hyperlink"/>
                <w:noProof/>
              </w:rPr>
              <w:t>Data Submission Process</w:t>
            </w:r>
            <w:r w:rsidR="004B29BF">
              <w:rPr>
                <w:noProof/>
                <w:webHidden/>
              </w:rPr>
              <w:tab/>
            </w:r>
            <w:r w:rsidR="004B29BF">
              <w:rPr>
                <w:noProof/>
                <w:webHidden/>
              </w:rPr>
              <w:fldChar w:fldCharType="begin"/>
            </w:r>
            <w:r w:rsidR="004B29BF">
              <w:rPr>
                <w:noProof/>
                <w:webHidden/>
              </w:rPr>
              <w:instrText xml:space="preserve"> PAGEREF _Toc42781290 \h </w:instrText>
            </w:r>
            <w:r w:rsidR="004B29BF">
              <w:rPr>
                <w:noProof/>
                <w:webHidden/>
              </w:rPr>
            </w:r>
            <w:r w:rsidR="004B29BF">
              <w:rPr>
                <w:noProof/>
                <w:webHidden/>
              </w:rPr>
              <w:fldChar w:fldCharType="separate"/>
            </w:r>
            <w:r w:rsidR="004B29BF">
              <w:rPr>
                <w:noProof/>
                <w:webHidden/>
              </w:rPr>
              <w:t>2</w:t>
            </w:r>
            <w:r w:rsidR="004B29BF">
              <w:rPr>
                <w:noProof/>
                <w:webHidden/>
              </w:rPr>
              <w:fldChar w:fldCharType="end"/>
            </w:r>
          </w:hyperlink>
        </w:p>
        <w:p w:rsidR="004B29BF" w:rsidRDefault="00DF691E">
          <w:pPr>
            <w:pStyle w:val="TOC1"/>
            <w:rPr>
              <w:rFonts w:eastAsiaTheme="minorEastAsia" w:cstheme="minorBidi"/>
              <w:b w:val="0"/>
              <w:noProof/>
            </w:rPr>
          </w:pPr>
          <w:hyperlink w:anchor="_Toc42781291" w:history="1">
            <w:r w:rsidR="004B29BF" w:rsidRPr="00B14620">
              <w:rPr>
                <w:rStyle w:val="Hyperlink"/>
                <w:noProof/>
              </w:rPr>
              <w:t>3</w:t>
            </w:r>
            <w:r w:rsidR="004B29BF">
              <w:rPr>
                <w:rFonts w:eastAsiaTheme="minorEastAsia" w:cstheme="minorBidi"/>
                <w:b w:val="0"/>
                <w:noProof/>
              </w:rPr>
              <w:tab/>
            </w:r>
            <w:r w:rsidR="004B29BF" w:rsidRPr="00B14620">
              <w:rPr>
                <w:rStyle w:val="Hyperlink"/>
                <w:noProof/>
              </w:rPr>
              <w:t>Online Status Check</w:t>
            </w:r>
            <w:r w:rsidR="004B29BF">
              <w:rPr>
                <w:noProof/>
                <w:webHidden/>
              </w:rPr>
              <w:tab/>
            </w:r>
            <w:r w:rsidR="004B29BF">
              <w:rPr>
                <w:noProof/>
                <w:webHidden/>
              </w:rPr>
              <w:fldChar w:fldCharType="begin"/>
            </w:r>
            <w:r w:rsidR="004B29BF">
              <w:rPr>
                <w:noProof/>
                <w:webHidden/>
              </w:rPr>
              <w:instrText xml:space="preserve"> PAGEREF _Toc42781291 \h </w:instrText>
            </w:r>
            <w:r w:rsidR="004B29BF">
              <w:rPr>
                <w:noProof/>
                <w:webHidden/>
              </w:rPr>
            </w:r>
            <w:r w:rsidR="004B29BF">
              <w:rPr>
                <w:noProof/>
                <w:webHidden/>
              </w:rPr>
              <w:fldChar w:fldCharType="separate"/>
            </w:r>
            <w:r w:rsidR="004B29BF">
              <w:rPr>
                <w:noProof/>
                <w:webHidden/>
              </w:rPr>
              <w:t>4</w:t>
            </w:r>
            <w:r w:rsidR="004B29BF">
              <w:rPr>
                <w:noProof/>
                <w:webHidden/>
              </w:rPr>
              <w:fldChar w:fldCharType="end"/>
            </w:r>
          </w:hyperlink>
        </w:p>
        <w:p w:rsidR="004B29BF" w:rsidRDefault="00DF691E">
          <w:pPr>
            <w:pStyle w:val="TOC1"/>
            <w:rPr>
              <w:rFonts w:eastAsiaTheme="minorEastAsia" w:cstheme="minorBidi"/>
              <w:b w:val="0"/>
              <w:noProof/>
            </w:rPr>
          </w:pPr>
          <w:hyperlink w:anchor="_Toc42781292" w:history="1">
            <w:r w:rsidR="004B29BF" w:rsidRPr="00B14620">
              <w:rPr>
                <w:rStyle w:val="Hyperlink"/>
                <w:noProof/>
              </w:rPr>
              <w:t>4</w:t>
            </w:r>
            <w:r w:rsidR="004B29BF">
              <w:rPr>
                <w:rFonts w:eastAsiaTheme="minorEastAsia" w:cstheme="minorBidi"/>
                <w:b w:val="0"/>
                <w:noProof/>
              </w:rPr>
              <w:tab/>
            </w:r>
            <w:r w:rsidR="004B29BF" w:rsidRPr="00B14620">
              <w:rPr>
                <w:rStyle w:val="Hyperlink"/>
                <w:noProof/>
              </w:rPr>
              <w:t>Data Retrieval Process</w:t>
            </w:r>
            <w:r w:rsidR="004B29BF">
              <w:rPr>
                <w:noProof/>
                <w:webHidden/>
              </w:rPr>
              <w:tab/>
            </w:r>
            <w:r w:rsidR="004B29BF">
              <w:rPr>
                <w:noProof/>
                <w:webHidden/>
              </w:rPr>
              <w:fldChar w:fldCharType="begin"/>
            </w:r>
            <w:r w:rsidR="004B29BF">
              <w:rPr>
                <w:noProof/>
                <w:webHidden/>
              </w:rPr>
              <w:instrText xml:space="preserve"> PAGEREF _Toc42781292 \h </w:instrText>
            </w:r>
            <w:r w:rsidR="004B29BF">
              <w:rPr>
                <w:noProof/>
                <w:webHidden/>
              </w:rPr>
            </w:r>
            <w:r w:rsidR="004B29BF">
              <w:rPr>
                <w:noProof/>
                <w:webHidden/>
              </w:rPr>
              <w:fldChar w:fldCharType="separate"/>
            </w:r>
            <w:r w:rsidR="004B29BF">
              <w:rPr>
                <w:noProof/>
                <w:webHidden/>
              </w:rPr>
              <w:t>4</w:t>
            </w:r>
            <w:r w:rsidR="004B29BF">
              <w:rPr>
                <w:noProof/>
                <w:webHidden/>
              </w:rPr>
              <w:fldChar w:fldCharType="end"/>
            </w:r>
          </w:hyperlink>
        </w:p>
        <w:p w:rsidR="004B29BF" w:rsidRDefault="00DF691E">
          <w:pPr>
            <w:pStyle w:val="TOC1"/>
            <w:rPr>
              <w:rFonts w:eastAsiaTheme="minorEastAsia" w:cstheme="minorBidi"/>
              <w:b w:val="0"/>
              <w:noProof/>
            </w:rPr>
          </w:pPr>
          <w:hyperlink w:anchor="_Toc42781293" w:history="1">
            <w:r w:rsidR="004B29BF" w:rsidRPr="00B14620">
              <w:rPr>
                <w:rStyle w:val="Hyperlink"/>
                <w:noProof/>
              </w:rPr>
              <w:t>5</w:t>
            </w:r>
            <w:r w:rsidR="004B29BF">
              <w:rPr>
                <w:rFonts w:eastAsiaTheme="minorEastAsia" w:cstheme="minorBidi"/>
                <w:b w:val="0"/>
                <w:noProof/>
              </w:rPr>
              <w:tab/>
            </w:r>
            <w:r w:rsidR="004B29BF" w:rsidRPr="00B14620">
              <w:rPr>
                <w:rStyle w:val="Hyperlink"/>
                <w:noProof/>
              </w:rPr>
              <w:t>Glossary</w:t>
            </w:r>
            <w:r w:rsidR="004B29BF">
              <w:rPr>
                <w:noProof/>
                <w:webHidden/>
              </w:rPr>
              <w:tab/>
            </w:r>
            <w:r w:rsidR="004B29BF">
              <w:rPr>
                <w:noProof/>
                <w:webHidden/>
              </w:rPr>
              <w:fldChar w:fldCharType="begin"/>
            </w:r>
            <w:r w:rsidR="004B29BF">
              <w:rPr>
                <w:noProof/>
                <w:webHidden/>
              </w:rPr>
              <w:instrText xml:space="preserve"> PAGEREF _Toc42781293 \h </w:instrText>
            </w:r>
            <w:r w:rsidR="004B29BF">
              <w:rPr>
                <w:noProof/>
                <w:webHidden/>
              </w:rPr>
            </w:r>
            <w:r w:rsidR="004B29BF">
              <w:rPr>
                <w:noProof/>
                <w:webHidden/>
              </w:rPr>
              <w:fldChar w:fldCharType="separate"/>
            </w:r>
            <w:r w:rsidR="004B29BF">
              <w:rPr>
                <w:noProof/>
                <w:webHidden/>
              </w:rPr>
              <w:t>5</w:t>
            </w:r>
            <w:r w:rsidR="004B29BF">
              <w:rPr>
                <w:noProof/>
                <w:webHidden/>
              </w:rPr>
              <w:fldChar w:fldCharType="end"/>
            </w:r>
          </w:hyperlink>
        </w:p>
        <w:p w:rsidR="004B29BF" w:rsidRDefault="00DF691E">
          <w:pPr>
            <w:pStyle w:val="TOC1"/>
            <w:rPr>
              <w:rFonts w:eastAsiaTheme="minorEastAsia" w:cstheme="minorBidi"/>
              <w:b w:val="0"/>
              <w:noProof/>
            </w:rPr>
          </w:pPr>
          <w:hyperlink w:anchor="_Toc42781294" w:history="1">
            <w:r w:rsidR="004B29BF" w:rsidRPr="00B14620">
              <w:rPr>
                <w:rStyle w:val="Hyperlink"/>
                <w:noProof/>
              </w:rPr>
              <w:t>Appendix A – Checks Performed by NSSDCA</w:t>
            </w:r>
            <w:r w:rsidR="004B29BF">
              <w:rPr>
                <w:noProof/>
                <w:webHidden/>
              </w:rPr>
              <w:tab/>
            </w:r>
            <w:r w:rsidR="004B29BF">
              <w:rPr>
                <w:noProof/>
                <w:webHidden/>
              </w:rPr>
              <w:fldChar w:fldCharType="begin"/>
            </w:r>
            <w:r w:rsidR="004B29BF">
              <w:rPr>
                <w:noProof/>
                <w:webHidden/>
              </w:rPr>
              <w:instrText xml:space="preserve"> PAGEREF _Toc42781294 \h </w:instrText>
            </w:r>
            <w:r w:rsidR="004B29BF">
              <w:rPr>
                <w:noProof/>
                <w:webHidden/>
              </w:rPr>
            </w:r>
            <w:r w:rsidR="004B29BF">
              <w:rPr>
                <w:noProof/>
                <w:webHidden/>
              </w:rPr>
              <w:fldChar w:fldCharType="separate"/>
            </w:r>
            <w:r w:rsidR="004B29BF">
              <w:rPr>
                <w:noProof/>
                <w:webHidden/>
              </w:rPr>
              <w:t>6</w:t>
            </w:r>
            <w:r w:rsidR="004B29BF">
              <w:rPr>
                <w:noProof/>
                <w:webHidden/>
              </w:rPr>
              <w:fldChar w:fldCharType="end"/>
            </w:r>
          </w:hyperlink>
        </w:p>
        <w:p w:rsidR="00F674FC" w:rsidRDefault="00F674FC" w:rsidP="00F674FC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674FC" w:rsidRDefault="00F674FC" w:rsidP="00F674FC">
      <w:pPr>
        <w:pStyle w:val="Heading1"/>
        <w:keepNext w:val="0"/>
        <w:widowControl w:val="0"/>
      </w:pPr>
      <w:bookmarkStart w:id="2" w:name="_Toc42781287"/>
      <w:r>
        <w:t>Introduction</w:t>
      </w:r>
      <w:bookmarkEnd w:id="2"/>
    </w:p>
    <w:p w:rsidR="00F674FC" w:rsidRDefault="00F674FC" w:rsidP="00D30CEF">
      <w:pPr>
        <w:pStyle w:val="Heading2"/>
        <w:keepNext w:val="0"/>
        <w:widowControl w:val="0"/>
      </w:pPr>
      <w:bookmarkStart w:id="3" w:name="_Toc42781288"/>
      <w:r>
        <w:t>Purpose</w:t>
      </w:r>
      <w:bookmarkEnd w:id="3"/>
    </w:p>
    <w:p w:rsidR="00D30CEF" w:rsidRDefault="00F674FC" w:rsidP="00D30CEF">
      <w:pPr>
        <w:spacing w:after="120"/>
      </w:pPr>
      <w:r>
        <w:t xml:space="preserve">This document describes the </w:t>
      </w:r>
      <w:r w:rsidR="002E22D5" w:rsidRPr="00E26097">
        <w:t xml:space="preserve">step-by-step procedures </w:t>
      </w:r>
      <w:r>
        <w:t xml:space="preserve">for </w:t>
      </w:r>
      <w:r w:rsidR="002E22D5">
        <w:t>submitting a PDS4 bundle</w:t>
      </w:r>
      <w:r>
        <w:t xml:space="preserve"> from the </w:t>
      </w:r>
      <w:r w:rsidRPr="00AB5979">
        <w:t>Planetary Data System (PDS)</w:t>
      </w:r>
      <w:r>
        <w:t xml:space="preserve"> to the</w:t>
      </w:r>
      <w:r w:rsidR="002E22D5">
        <w:t xml:space="preserve"> Deep Archive at the</w:t>
      </w:r>
      <w:r>
        <w:t xml:space="preserve"> </w:t>
      </w:r>
      <w:r w:rsidRPr="00DD6A52">
        <w:t>NASA Space Science Data Coordinated Archive (</w:t>
      </w:r>
      <w:r>
        <w:t>NSSDCA</w:t>
      </w:r>
      <w:r w:rsidRPr="00DD6A52">
        <w:t>)</w:t>
      </w:r>
      <w:r>
        <w:t>.</w:t>
      </w:r>
      <w:r w:rsidR="001E1DBA">
        <w:t xml:space="preserve"> It also describes the procedure for requesting the NSSDCA to return PDS4 data from the Deep Archive</w:t>
      </w:r>
      <w:r>
        <w:t xml:space="preserve">  The process addresses network data delivery.</w:t>
      </w:r>
    </w:p>
    <w:p w:rsidR="00C25998" w:rsidRDefault="002E22D5" w:rsidP="00D30CEF">
      <w:pPr>
        <w:pStyle w:val="Heading2"/>
        <w:keepNext w:val="0"/>
        <w:widowControl w:val="0"/>
      </w:pPr>
      <w:bookmarkStart w:id="4" w:name="_Toc42781289"/>
      <w:bookmarkEnd w:id="0"/>
      <w:r>
        <w:t>Actors</w:t>
      </w:r>
      <w:bookmarkEnd w:id="4"/>
    </w:p>
    <w:p w:rsidR="002E22D5" w:rsidRDefault="002E22D5" w:rsidP="00D30CEF">
      <w:pPr>
        <w:pStyle w:val="ListParagraph"/>
        <w:numPr>
          <w:ilvl w:val="0"/>
          <w:numId w:val="7"/>
        </w:numPr>
        <w:spacing w:after="120"/>
        <w:contextualSpacing w:val="0"/>
      </w:pPr>
      <w:r>
        <w:t xml:space="preserve">Submitter:  PDS Discipline Node that wishes to submit </w:t>
      </w:r>
      <w:r w:rsidR="0016168C">
        <w:t xml:space="preserve">a </w:t>
      </w:r>
      <w:r>
        <w:t xml:space="preserve">PDS4 </w:t>
      </w:r>
      <w:r w:rsidR="0016168C">
        <w:t>bundle</w:t>
      </w:r>
      <w:r>
        <w:t xml:space="preserve"> to the NSSDCA. The Submitter may request the NSSDCA retrieve and return PDS4 products that have been ingested.</w:t>
      </w:r>
      <w:r w:rsidR="008C4A99">
        <w:t xml:space="preserve"> This document uses the terms Submitter and PDS Discipline Node </w:t>
      </w:r>
      <w:r w:rsidR="008C4A99" w:rsidRPr="008C4A99">
        <w:t>interchangeably</w:t>
      </w:r>
      <w:r w:rsidR="008C4A99">
        <w:t>.</w:t>
      </w:r>
    </w:p>
    <w:p w:rsidR="002E22D5" w:rsidRDefault="002E22D5" w:rsidP="00D30CEF">
      <w:pPr>
        <w:pStyle w:val="ListParagraph"/>
        <w:numPr>
          <w:ilvl w:val="0"/>
          <w:numId w:val="7"/>
        </w:numPr>
        <w:spacing w:after="120"/>
        <w:contextualSpacing w:val="0"/>
      </w:pPr>
      <w:r>
        <w:t xml:space="preserve">NSSDCA:  Institution that receives and ingests the PDS4 </w:t>
      </w:r>
      <w:r w:rsidR="0016168C">
        <w:t>bundle</w:t>
      </w:r>
      <w:r>
        <w:t xml:space="preserve"> into </w:t>
      </w:r>
      <w:r w:rsidR="005F6C9A">
        <w:t>it</w:t>
      </w:r>
      <w:r w:rsidR="001E1DBA">
        <w:t>s</w:t>
      </w:r>
      <w:r w:rsidR="005F6C9A">
        <w:t xml:space="preserve"> </w:t>
      </w:r>
      <w:r w:rsidR="001E1DBA">
        <w:t>Deep Archive</w:t>
      </w:r>
      <w:r w:rsidR="005F6C9A">
        <w:t xml:space="preserve"> </w:t>
      </w:r>
      <w:r>
        <w:t>for long-term storage and for retrieving the products if requested by a Submitter.</w:t>
      </w:r>
    </w:p>
    <w:p w:rsidR="00C25998" w:rsidRPr="006B766B" w:rsidRDefault="002E22D5" w:rsidP="00D30CEF">
      <w:pPr>
        <w:pStyle w:val="ListParagraph"/>
        <w:numPr>
          <w:ilvl w:val="0"/>
          <w:numId w:val="7"/>
        </w:numPr>
        <w:spacing w:after="120"/>
        <w:contextualSpacing w:val="0"/>
      </w:pPr>
      <w:r>
        <w:t xml:space="preserve">PDS Engineering Node </w:t>
      </w:r>
      <w:r w:rsidR="002A5F7B">
        <w:t>Operator</w:t>
      </w:r>
      <w:r>
        <w:t xml:space="preserve"> (</w:t>
      </w:r>
      <w:r w:rsidR="002A5F7B">
        <w:t>PDS Operator</w:t>
      </w:r>
      <w:r>
        <w:t xml:space="preserve">): </w:t>
      </w:r>
      <w:r w:rsidR="0016168C">
        <w:t>Engineering Node (EN)</w:t>
      </w:r>
      <w:r>
        <w:t xml:space="preserve"> staff member responsible for registering the Submission Information Package</w:t>
      </w:r>
      <w:r w:rsidR="0016168C">
        <w:t xml:space="preserve"> (SIP)</w:t>
      </w:r>
      <w:r>
        <w:t xml:space="preserve"> </w:t>
      </w:r>
      <w:r>
        <w:lastRenderedPageBreak/>
        <w:t>and the Archive Information Package</w:t>
      </w:r>
      <w:r w:rsidR="0016168C">
        <w:t xml:space="preserve"> (AIP)</w:t>
      </w:r>
      <w:r>
        <w:t xml:space="preserve">, which are generated and supplied by the Submitter. </w:t>
      </w:r>
      <w:r w:rsidR="005F6C9A">
        <w:t xml:space="preserve">After registration, the </w:t>
      </w:r>
      <w:r w:rsidR="008C4A99">
        <w:t xml:space="preserve">PDS Operator </w:t>
      </w:r>
      <w:r w:rsidR="005F6C9A">
        <w:t>submits the SIP to the NSSDCA to initiate the delivery.</w:t>
      </w:r>
      <w:r>
        <w:t xml:space="preserve"> ENR has responsibility over EN Tracking Service.</w:t>
      </w:r>
    </w:p>
    <w:p w:rsidR="00F674FC" w:rsidRDefault="00F674FC" w:rsidP="000C4C46">
      <w:pPr>
        <w:pStyle w:val="Heading1"/>
      </w:pPr>
      <w:bookmarkStart w:id="5" w:name="_Toc42781290"/>
      <w:r>
        <w:t xml:space="preserve">Data </w:t>
      </w:r>
      <w:r w:rsidR="00C25998">
        <w:t>Submission</w:t>
      </w:r>
      <w:r w:rsidR="00342ED7">
        <w:t xml:space="preserve"> </w:t>
      </w:r>
      <w:r>
        <w:t>Process</w:t>
      </w:r>
      <w:bookmarkEnd w:id="5"/>
    </w:p>
    <w:p w:rsidR="00F674FC" w:rsidRDefault="00C25998" w:rsidP="000055C2">
      <w:pPr>
        <w:spacing w:after="120"/>
      </w:pPr>
      <w:r w:rsidRPr="00E26097">
        <w:t xml:space="preserve">The step-by-step </w:t>
      </w:r>
      <w:r w:rsidR="00D86117">
        <w:t>procedures</w:t>
      </w:r>
      <w:r w:rsidRPr="00E26097">
        <w:t xml:space="preserve"> and protocols </w:t>
      </w:r>
      <w:r w:rsidR="00D86117">
        <w:t>for</w:t>
      </w:r>
      <w:r w:rsidRPr="00E26097">
        <w:t xml:space="preserve"> submitting </w:t>
      </w:r>
      <w:r w:rsidR="008C4A99">
        <w:t>a</w:t>
      </w:r>
      <w:r w:rsidR="002A5F7B">
        <w:t xml:space="preserve"> </w:t>
      </w:r>
      <w:r w:rsidR="00F762FC">
        <w:t>PDS4 bundle</w:t>
      </w:r>
      <w:r w:rsidRPr="00E26097">
        <w:t xml:space="preserve"> to the </w:t>
      </w:r>
      <w:r w:rsidR="00D86117">
        <w:t xml:space="preserve">NSSDCA </w:t>
      </w:r>
      <w:r w:rsidRPr="00E26097">
        <w:t>Deep Archive are as follow</w:t>
      </w:r>
      <w:r w:rsidR="00D86117">
        <w:t>s</w:t>
      </w:r>
      <w:r w:rsidR="00F674FC">
        <w:t>:</w:t>
      </w:r>
    </w:p>
    <w:p w:rsidR="00F762FC" w:rsidRDefault="00F762FC" w:rsidP="00D30CEF">
      <w:pPr>
        <w:pStyle w:val="ListParagraph"/>
        <w:numPr>
          <w:ilvl w:val="0"/>
          <w:numId w:val="10"/>
        </w:numPr>
        <w:spacing w:after="120"/>
        <w:contextualSpacing w:val="0"/>
      </w:pPr>
      <w:r>
        <w:t xml:space="preserve">PDS Discipline Node </w:t>
      </w:r>
      <w:r w:rsidRPr="00F762FC">
        <w:t xml:space="preserve">creates an immutable </w:t>
      </w:r>
      <w:r>
        <w:t>bundle</w:t>
      </w:r>
      <w:r w:rsidR="00E2315B">
        <w:t xml:space="preserve">, </w:t>
      </w:r>
      <w:r w:rsidR="00E2315B" w:rsidRPr="00D30CEF">
        <w:t>either complete or accumulating</w:t>
      </w:r>
      <w:r w:rsidR="00E2315B">
        <w:t xml:space="preserve">, </w:t>
      </w:r>
      <w:r w:rsidRPr="00F762FC">
        <w:t xml:space="preserve">that is stored </w:t>
      </w:r>
      <w:r w:rsidR="00E04A21">
        <w:t>in</w:t>
      </w:r>
      <w:r w:rsidRPr="00F762FC">
        <w:t xml:space="preserve"> an online accessible repository</w:t>
      </w:r>
      <w:r w:rsidR="00E2315B">
        <w:t>.</w:t>
      </w:r>
    </w:p>
    <w:p w:rsidR="00E2315B" w:rsidRDefault="00F762FC" w:rsidP="00E2315B">
      <w:pPr>
        <w:pStyle w:val="ListParagraph"/>
        <w:numPr>
          <w:ilvl w:val="0"/>
          <w:numId w:val="10"/>
        </w:numPr>
        <w:spacing w:after="120"/>
        <w:contextualSpacing w:val="0"/>
      </w:pPr>
      <w:r>
        <w:t>PDS Discipline Node</w:t>
      </w:r>
      <w:r w:rsidRPr="00F762FC">
        <w:t xml:space="preserve"> successful</w:t>
      </w:r>
      <w:r>
        <w:t>ly</w:t>
      </w:r>
      <w:r w:rsidRPr="00F762FC">
        <w:t xml:space="preserve"> validat</w:t>
      </w:r>
      <w:r>
        <w:t>es the bundle</w:t>
      </w:r>
      <w:r w:rsidRPr="00F762FC">
        <w:t xml:space="preserve"> </w:t>
      </w:r>
      <w:r>
        <w:t>using the</w:t>
      </w:r>
      <w:r w:rsidRPr="00F762FC">
        <w:t xml:space="preserve"> PDS4 Validate Tool</w:t>
      </w:r>
      <w:r>
        <w:t xml:space="preserve"> (</w:t>
      </w:r>
      <w:hyperlink r:id="rId7" w:history="1">
        <w:r w:rsidR="00244961" w:rsidRPr="00B070B4">
          <w:rPr>
            <w:rStyle w:val="Hyperlink"/>
          </w:rPr>
          <w:t>https://nasa-pds.github.io/validate/</w:t>
        </w:r>
      </w:hyperlink>
      <w:r>
        <w:t>)</w:t>
      </w:r>
      <w:r w:rsidR="00244961">
        <w:t>.</w:t>
      </w:r>
    </w:p>
    <w:p w:rsidR="00E2315B" w:rsidRDefault="00E2315B" w:rsidP="00E2315B">
      <w:pPr>
        <w:spacing w:after="0"/>
        <w:ind w:left="360"/>
      </w:pPr>
      <w:r>
        <w:t>Note:</w:t>
      </w:r>
    </w:p>
    <w:p w:rsidR="00244961" w:rsidRDefault="00690193" w:rsidP="00E2315B">
      <w:pPr>
        <w:pStyle w:val="ListParagraph"/>
        <w:numPr>
          <w:ilvl w:val="1"/>
          <w:numId w:val="14"/>
        </w:numPr>
        <w:spacing w:after="120"/>
        <w:contextualSpacing w:val="0"/>
      </w:pPr>
      <w:r>
        <w:t>A bundle</w:t>
      </w:r>
      <w:r w:rsidR="00244961">
        <w:t xml:space="preserve"> must </w:t>
      </w:r>
      <w:r w:rsidR="00E2315B" w:rsidRPr="00D30CEF">
        <w:t xml:space="preserve">successfully </w:t>
      </w:r>
      <w:r w:rsidR="00244961" w:rsidRPr="00D30CEF">
        <w:t xml:space="preserve">validate against the </w:t>
      </w:r>
      <w:r w:rsidR="00244961">
        <w:t>PDS4 Information Model</w:t>
      </w:r>
      <w:r w:rsidR="00EE050C">
        <w:t xml:space="preserve"> (</w:t>
      </w:r>
      <w:r w:rsidR="00E2315B">
        <w:t>IM</w:t>
      </w:r>
      <w:r w:rsidR="00EE050C">
        <w:t>)</w:t>
      </w:r>
      <w:r w:rsidR="00244961">
        <w:t xml:space="preserve"> and adhere to any </w:t>
      </w:r>
      <w:r w:rsidR="00244961" w:rsidRPr="00D30CEF">
        <w:t>additional requirements specified in the PDS4 Standards Refe</w:t>
      </w:r>
      <w:r w:rsidR="00244961">
        <w:t>rence (</w:t>
      </w:r>
      <w:hyperlink r:id="rId8" w:history="1">
        <w:r w:rsidRPr="00B070B4">
          <w:rPr>
            <w:rStyle w:val="Hyperlink"/>
          </w:rPr>
          <w:t>https://pds.nasa.gov/datastandards/about/</w:t>
        </w:r>
      </w:hyperlink>
      <w:r w:rsidR="00244961">
        <w:t>)</w:t>
      </w:r>
      <w:r>
        <w:t xml:space="preserve"> before it can be delivered to the NSSDCA.</w:t>
      </w:r>
    </w:p>
    <w:p w:rsidR="00E2315B" w:rsidRDefault="008C4A99" w:rsidP="00E2315B">
      <w:pPr>
        <w:pStyle w:val="ListParagraph"/>
        <w:numPr>
          <w:ilvl w:val="0"/>
          <w:numId w:val="10"/>
        </w:numPr>
        <w:spacing w:after="120"/>
        <w:contextualSpacing w:val="0"/>
      </w:pPr>
      <w:r>
        <w:t xml:space="preserve">PDS Discipline Node </w:t>
      </w:r>
      <w:r w:rsidR="007325D3">
        <w:t>uses the PDS Deep Archive Tool (</w:t>
      </w:r>
      <w:hyperlink r:id="rId9" w:history="1">
        <w:r w:rsidR="007325D3" w:rsidRPr="00B070B4">
          <w:rPr>
            <w:rStyle w:val="Hyperlink"/>
          </w:rPr>
          <w:t>https://nasa-pds.github.io/pds-deep-archive/</w:t>
        </w:r>
      </w:hyperlink>
      <w:r w:rsidR="007325D3">
        <w:t>)</w:t>
      </w:r>
      <w:r w:rsidR="002A5F7B">
        <w:t xml:space="preserve"> </w:t>
      </w:r>
      <w:r w:rsidR="007325D3">
        <w:t>to create</w:t>
      </w:r>
      <w:r w:rsidR="001D43ED">
        <w:t xml:space="preserve"> a </w:t>
      </w:r>
      <w:r w:rsidR="007325D3">
        <w:t xml:space="preserve">Submission Information Package </w:t>
      </w:r>
      <w:r w:rsidR="001D43ED">
        <w:t xml:space="preserve">(SIP) and an </w:t>
      </w:r>
      <w:r w:rsidR="007325D3">
        <w:t>Archive Information Package (AIP)</w:t>
      </w:r>
      <w:r w:rsidR="001D43ED">
        <w:t xml:space="preserve"> for the bundle</w:t>
      </w:r>
      <w:r w:rsidR="003A1E46">
        <w:t>.</w:t>
      </w:r>
    </w:p>
    <w:p w:rsidR="00E2315B" w:rsidRDefault="00E2315B" w:rsidP="00E2315B">
      <w:pPr>
        <w:spacing w:after="0"/>
        <w:ind w:left="360"/>
      </w:pPr>
      <w:r>
        <w:t>Notes:</w:t>
      </w:r>
    </w:p>
    <w:p w:rsidR="00BB3C80" w:rsidRDefault="001D43ED" w:rsidP="00E2315B">
      <w:pPr>
        <w:pStyle w:val="ListParagraph"/>
        <w:numPr>
          <w:ilvl w:val="1"/>
          <w:numId w:val="15"/>
        </w:numPr>
        <w:spacing w:after="0"/>
        <w:contextualSpacing w:val="0"/>
      </w:pPr>
      <w:r>
        <w:t xml:space="preserve">The components of the SIP and AIP are collectively called the </w:t>
      </w:r>
      <w:r w:rsidRPr="007325D3">
        <w:t>PDS Deep Archive Delivery</w:t>
      </w:r>
      <w:r>
        <w:t xml:space="preserve"> package.</w:t>
      </w:r>
      <w:r w:rsidR="00723772">
        <w:t xml:space="preserve"> The Glossary describes the SIP and AIP and their components in more detail.</w:t>
      </w:r>
    </w:p>
    <w:p w:rsidR="00BB3C80" w:rsidRDefault="00BB3C80" w:rsidP="00E2315B">
      <w:pPr>
        <w:pStyle w:val="ListParagraph"/>
        <w:numPr>
          <w:ilvl w:val="1"/>
          <w:numId w:val="15"/>
        </w:numPr>
        <w:spacing w:after="0"/>
        <w:contextualSpacing w:val="0"/>
      </w:pPr>
      <w:r>
        <w:t>The PDS Deep Archive Tool assigns a unique LIDVID to the SIP product and another one to the AIP product.</w:t>
      </w:r>
    </w:p>
    <w:p w:rsidR="00EE050C" w:rsidRDefault="00BB3C80" w:rsidP="00E2315B">
      <w:pPr>
        <w:pStyle w:val="ListParagraph"/>
        <w:numPr>
          <w:ilvl w:val="1"/>
          <w:numId w:val="15"/>
        </w:numPr>
        <w:spacing w:after="120"/>
        <w:contextualSpacing w:val="0"/>
      </w:pPr>
      <w:r>
        <w:t>The NSSDCA requires only the SIP when submitting a bundle to its Deep Archive.  The PDS system requires the AIP for internal registration and tracking purposes.</w:t>
      </w:r>
    </w:p>
    <w:p w:rsidR="003A1E46" w:rsidRDefault="003A1E46" w:rsidP="00D30CEF">
      <w:pPr>
        <w:pStyle w:val="ListParagraph"/>
        <w:numPr>
          <w:ilvl w:val="0"/>
          <w:numId w:val="10"/>
        </w:numPr>
        <w:spacing w:after="120"/>
        <w:contextualSpacing w:val="0"/>
      </w:pPr>
      <w:r>
        <w:t xml:space="preserve">PDS Discipline Node validates the SIP and AIP products </w:t>
      </w:r>
      <w:r w:rsidR="00CB75AA">
        <w:t>contained in</w:t>
      </w:r>
      <w:r>
        <w:t xml:space="preserve"> the </w:t>
      </w:r>
      <w:r w:rsidRPr="00F762FC">
        <w:t>PDS Deep Archive Delivery packag</w:t>
      </w:r>
      <w:r>
        <w:t>e</w:t>
      </w:r>
      <w:r w:rsidR="002A50E1">
        <w:t xml:space="preserve"> to </w:t>
      </w:r>
      <w:r w:rsidR="002A50E1" w:rsidRPr="002A50E1">
        <w:t xml:space="preserve">ensure </w:t>
      </w:r>
      <w:r w:rsidR="00CB75AA">
        <w:t>complianc</w:t>
      </w:r>
      <w:r w:rsidR="001F185B">
        <w:t>e</w:t>
      </w:r>
      <w:r w:rsidR="002A50E1">
        <w:t xml:space="preserve"> </w:t>
      </w:r>
      <w:r w:rsidR="002A50E1" w:rsidRPr="002A50E1">
        <w:t>with the most recent release of the</w:t>
      </w:r>
      <w:r w:rsidR="002A50E1">
        <w:t xml:space="preserve"> PDS4 </w:t>
      </w:r>
      <w:r w:rsidR="002A50E1" w:rsidRPr="002A50E1">
        <w:t>IM</w:t>
      </w:r>
      <w:r w:rsidR="002A50E1">
        <w:t>.</w:t>
      </w:r>
    </w:p>
    <w:p w:rsidR="002A5F7B" w:rsidRDefault="008C4A99" w:rsidP="00D30CEF">
      <w:pPr>
        <w:pStyle w:val="ListParagraph"/>
        <w:numPr>
          <w:ilvl w:val="0"/>
          <w:numId w:val="10"/>
        </w:numPr>
        <w:spacing w:after="120"/>
        <w:contextualSpacing w:val="0"/>
      </w:pPr>
      <w:r>
        <w:t xml:space="preserve">PDS Discipline Node </w:t>
      </w:r>
      <w:r w:rsidR="002A5F7B">
        <w:t xml:space="preserve">emails the </w:t>
      </w:r>
      <w:r w:rsidR="00E04A21" w:rsidRPr="00F762FC">
        <w:t>PDS Deep Archive Delivery package</w:t>
      </w:r>
      <w:r w:rsidR="00E04A21">
        <w:t xml:space="preserve"> </w:t>
      </w:r>
      <w:r w:rsidR="002A5F7B">
        <w:t>to the PDS Operator</w:t>
      </w:r>
      <w:r w:rsidR="007325D3">
        <w:t>.</w:t>
      </w:r>
    </w:p>
    <w:p w:rsidR="003A1E46" w:rsidRDefault="003A1E46" w:rsidP="00062412">
      <w:pPr>
        <w:pStyle w:val="ListParagraph"/>
        <w:keepNext/>
        <w:numPr>
          <w:ilvl w:val="0"/>
          <w:numId w:val="10"/>
        </w:numPr>
        <w:spacing w:after="120"/>
        <w:contextualSpacing w:val="0"/>
      </w:pPr>
      <w:r>
        <w:lastRenderedPageBreak/>
        <w:t xml:space="preserve">PDS Operator validates </w:t>
      </w:r>
      <w:r w:rsidR="002A50E1">
        <w:t xml:space="preserve">the SIP and AIP products </w:t>
      </w:r>
      <w:r w:rsidR="001F185B">
        <w:t>contained in</w:t>
      </w:r>
      <w:r w:rsidR="002A50E1">
        <w:t xml:space="preserve"> the </w:t>
      </w:r>
      <w:r w:rsidR="002A50E1" w:rsidRPr="00F762FC">
        <w:t>PDS Deep Archive Delivery packag</w:t>
      </w:r>
      <w:r w:rsidR="002A50E1">
        <w:t>e</w:t>
      </w:r>
      <w:r w:rsidR="00ED1F9C">
        <w:t>:</w:t>
      </w:r>
    </w:p>
    <w:p w:rsidR="0078516B" w:rsidRDefault="002A50E1" w:rsidP="00062412">
      <w:pPr>
        <w:pStyle w:val="ListParagraph"/>
        <w:keepNext/>
        <w:numPr>
          <w:ilvl w:val="1"/>
          <w:numId w:val="10"/>
        </w:numPr>
        <w:spacing w:after="120"/>
        <w:contextualSpacing w:val="0"/>
      </w:pPr>
      <w:r>
        <w:t>Upon failure</w:t>
      </w:r>
      <w:r w:rsidR="0078516B">
        <w:t>:</w:t>
      </w:r>
    </w:p>
    <w:p w:rsidR="0078516B" w:rsidRDefault="008F0FB9" w:rsidP="00062412">
      <w:pPr>
        <w:pStyle w:val="ListParagraph"/>
        <w:keepNext/>
        <w:numPr>
          <w:ilvl w:val="2"/>
          <w:numId w:val="10"/>
        </w:numPr>
        <w:spacing w:after="120"/>
        <w:contextualSpacing w:val="0"/>
      </w:pPr>
      <w:r>
        <w:t>The PDS Operator e</w:t>
      </w:r>
      <w:r w:rsidR="0078516B" w:rsidRPr="002A50E1">
        <w:t xml:space="preserve">mails </w:t>
      </w:r>
      <w:r w:rsidR="0078516B">
        <w:t xml:space="preserve">the </w:t>
      </w:r>
      <w:r w:rsidR="001909A7">
        <w:t xml:space="preserve">bundle </w:t>
      </w:r>
      <w:r w:rsidR="0078516B">
        <w:t>failure status</w:t>
      </w:r>
      <w:r w:rsidR="0078516B" w:rsidRPr="002A50E1">
        <w:t xml:space="preserve"> to the</w:t>
      </w:r>
      <w:r w:rsidR="0078516B">
        <w:t xml:space="preserve"> PDS Discipline Node</w:t>
      </w:r>
      <w:r w:rsidR="00A87867">
        <w:t>, and</w:t>
      </w:r>
    </w:p>
    <w:p w:rsidR="002A50E1" w:rsidRDefault="002A50E1" w:rsidP="0078516B">
      <w:pPr>
        <w:pStyle w:val="ListParagraph"/>
        <w:numPr>
          <w:ilvl w:val="2"/>
          <w:numId w:val="10"/>
        </w:numPr>
        <w:spacing w:after="120"/>
        <w:contextualSpacing w:val="0"/>
      </w:pPr>
      <w:r>
        <w:t>PDS Discipline Node fix</w:t>
      </w:r>
      <w:r w:rsidR="001909A7">
        <w:t>es</w:t>
      </w:r>
      <w:r>
        <w:t xml:space="preserve"> the problems and resubmit</w:t>
      </w:r>
      <w:r w:rsidR="001909A7">
        <w:t>s</w:t>
      </w:r>
      <w:r>
        <w:t xml:space="preserve"> new </w:t>
      </w:r>
      <w:r w:rsidRPr="00F762FC">
        <w:t>PDS Deep Archive Delivery packag</w:t>
      </w:r>
      <w:r>
        <w:t>es until success</w:t>
      </w:r>
      <w:r w:rsidR="00690193">
        <w:t xml:space="preserve"> (i.e., repeats steps 2-5).</w:t>
      </w:r>
    </w:p>
    <w:p w:rsidR="00ED1F9C" w:rsidRDefault="00ED1F9C" w:rsidP="002A50E1">
      <w:pPr>
        <w:pStyle w:val="ListParagraph"/>
        <w:numPr>
          <w:ilvl w:val="1"/>
          <w:numId w:val="10"/>
        </w:numPr>
        <w:spacing w:after="120"/>
        <w:contextualSpacing w:val="0"/>
      </w:pPr>
      <w:r>
        <w:t>Upon success, the PDS Operator:</w:t>
      </w:r>
    </w:p>
    <w:p w:rsidR="00ED1F9C" w:rsidRDefault="00ED1F9C" w:rsidP="0078516B">
      <w:pPr>
        <w:pStyle w:val="ListParagraph"/>
        <w:numPr>
          <w:ilvl w:val="2"/>
          <w:numId w:val="10"/>
        </w:numPr>
        <w:spacing w:after="120"/>
        <w:contextualSpacing w:val="0"/>
      </w:pPr>
      <w:r>
        <w:t>R</w:t>
      </w:r>
      <w:r w:rsidRPr="002A50E1">
        <w:t xml:space="preserve">egisters </w:t>
      </w:r>
      <w:r>
        <w:t>the SIP and AIP</w:t>
      </w:r>
      <w:r w:rsidRPr="002A50E1">
        <w:t xml:space="preserve"> products into the </w:t>
      </w:r>
      <w:r>
        <w:t>PDS system</w:t>
      </w:r>
      <w:r w:rsidRPr="002A50E1">
        <w:t xml:space="preserve"> </w:t>
      </w:r>
      <w:r>
        <w:t>(Registry and Tracking Service)</w:t>
      </w:r>
      <w:r w:rsidR="00A87867">
        <w:t>,</w:t>
      </w:r>
    </w:p>
    <w:p w:rsidR="00ED1F9C" w:rsidRDefault="00ED1F9C" w:rsidP="0078516B">
      <w:pPr>
        <w:pStyle w:val="ListParagraph"/>
        <w:numPr>
          <w:ilvl w:val="2"/>
          <w:numId w:val="10"/>
        </w:numPr>
        <w:spacing w:after="120"/>
        <w:contextualSpacing w:val="0"/>
      </w:pPr>
      <w:r>
        <w:t>Places the contents of the PDS Deep Archive Package in</w:t>
      </w:r>
      <w:r w:rsidRPr="00F762FC">
        <w:t xml:space="preserve"> an online accessible repository</w:t>
      </w:r>
      <w:r>
        <w:t xml:space="preserve"> at EN (</w:t>
      </w:r>
      <w:hyperlink r:id="rId10" w:history="1">
        <w:r w:rsidRPr="00D64026">
          <w:rPr>
            <w:rStyle w:val="Hyperlink"/>
          </w:rPr>
          <w:t>https://pds.nasa.gov/data/pds4/manifests/</w:t>
        </w:r>
      </w:hyperlink>
      <w:r>
        <w:t>)</w:t>
      </w:r>
      <w:r w:rsidR="00A87867">
        <w:t>, and</w:t>
      </w:r>
    </w:p>
    <w:p w:rsidR="0078516B" w:rsidRPr="0078516B" w:rsidRDefault="008F0FB9" w:rsidP="0078516B">
      <w:pPr>
        <w:pStyle w:val="ListParagraph"/>
        <w:numPr>
          <w:ilvl w:val="2"/>
          <w:numId w:val="10"/>
        </w:numPr>
        <w:spacing w:after="120"/>
        <w:contextualSpacing w:val="0"/>
      </w:pPr>
      <w:r>
        <w:t xml:space="preserve">Emails the </w:t>
      </w:r>
      <w:r w:rsidR="0078516B">
        <w:t>PDS Discipline Node</w:t>
      </w:r>
      <w:r>
        <w:t xml:space="preserve"> that the </w:t>
      </w:r>
      <w:r w:rsidR="0078516B">
        <w:t>bundle</w:t>
      </w:r>
      <w:r w:rsidR="0078516B" w:rsidRPr="0078516B">
        <w:t xml:space="preserve"> is under “delivery to NSSDCA” and must remain immutable until the transfer to NSSDCA is complete.</w:t>
      </w:r>
    </w:p>
    <w:p w:rsidR="00F0232B" w:rsidRDefault="007721E5" w:rsidP="00F0232B">
      <w:pPr>
        <w:pStyle w:val="ListParagraph"/>
        <w:numPr>
          <w:ilvl w:val="0"/>
          <w:numId w:val="10"/>
        </w:numPr>
        <w:spacing w:after="120"/>
        <w:contextualSpacing w:val="0"/>
      </w:pPr>
      <w:r>
        <w:t>To initiate the delivery to the NSSDCA, the</w:t>
      </w:r>
      <w:r w:rsidR="00F0232B">
        <w:t xml:space="preserve"> </w:t>
      </w:r>
      <w:r w:rsidR="00F762FC">
        <w:t>PDS Operator uses the Planetary Submission Interface</w:t>
      </w:r>
      <w:r w:rsidR="00D64026">
        <w:t xml:space="preserve"> (PSI)</w:t>
      </w:r>
      <w:r w:rsidR="00F762FC">
        <w:t xml:space="preserve"> (</w:t>
      </w:r>
      <w:hyperlink r:id="rId11" w:history="1">
        <w:r w:rsidR="00F762FC" w:rsidRPr="00B070B4">
          <w:rPr>
            <w:rStyle w:val="Hyperlink"/>
          </w:rPr>
          <w:t>https://nssdc.gsfc.nasa.gov/psi/</w:t>
        </w:r>
      </w:hyperlink>
      <w:r w:rsidR="00F762FC">
        <w:t xml:space="preserve">) to submit the </w:t>
      </w:r>
      <w:r w:rsidR="002A5F7B">
        <w:t>URL of the SIP product</w:t>
      </w:r>
      <w:r w:rsidR="00F762FC">
        <w:t xml:space="preserve"> </w:t>
      </w:r>
      <w:r w:rsidR="002A5F7B">
        <w:t xml:space="preserve">to the </w:t>
      </w:r>
      <w:r w:rsidR="00E04A21">
        <w:t>NSSDCA</w:t>
      </w:r>
      <w:r w:rsidR="00A96F40">
        <w:t xml:space="preserve">, selecting the </w:t>
      </w:r>
      <w:r w:rsidR="00A96F40" w:rsidRPr="00D64026">
        <w:t>appropriate node</w:t>
      </w:r>
      <w:r w:rsidR="00A96F40">
        <w:t xml:space="preserve"> as the Provider Site and node personnel as the T</w:t>
      </w:r>
      <w:r w:rsidR="00A96F40" w:rsidRPr="00D64026">
        <w:t>ransf</w:t>
      </w:r>
      <w:r w:rsidR="001F185B">
        <w:t>er Contact.</w:t>
      </w:r>
    </w:p>
    <w:p w:rsidR="005F7D69" w:rsidRDefault="005F7D69" w:rsidP="005F7D69">
      <w:pPr>
        <w:spacing w:after="0"/>
        <w:ind w:left="360"/>
      </w:pPr>
      <w:r>
        <w:t>Note:</w:t>
      </w:r>
    </w:p>
    <w:p w:rsidR="00695E0F" w:rsidRDefault="005F7D69" w:rsidP="00645A43">
      <w:pPr>
        <w:pStyle w:val="ListParagraph"/>
        <w:numPr>
          <w:ilvl w:val="1"/>
          <w:numId w:val="15"/>
        </w:numPr>
        <w:spacing w:after="120"/>
        <w:contextualSpacing w:val="0"/>
      </w:pPr>
      <w:r>
        <w:t>The URLs of m</w:t>
      </w:r>
      <w:r w:rsidRPr="00695E0F">
        <w:t>ultiple SIP</w:t>
      </w:r>
      <w:r>
        <w:t xml:space="preserve"> products</w:t>
      </w:r>
      <w:r w:rsidRPr="00695E0F">
        <w:t xml:space="preserve"> can be submitted simultaneously through </w:t>
      </w:r>
      <w:r>
        <w:t>the PSI</w:t>
      </w:r>
      <w:r w:rsidR="00695E0F" w:rsidRPr="00695E0F">
        <w:t>.</w:t>
      </w:r>
    </w:p>
    <w:p w:rsidR="009B4C50" w:rsidRDefault="009B4C50" w:rsidP="009B4C50">
      <w:pPr>
        <w:pStyle w:val="ListParagraph"/>
        <w:numPr>
          <w:ilvl w:val="0"/>
          <w:numId w:val="10"/>
        </w:numPr>
        <w:spacing w:after="120"/>
        <w:contextualSpacing w:val="0"/>
      </w:pPr>
      <w:r>
        <w:t xml:space="preserve">NSSDCA </w:t>
      </w:r>
      <w:r w:rsidR="004715B3">
        <w:t>initiates the transfer, registration, and ingest of the SIP product, the</w:t>
      </w:r>
      <w:r w:rsidR="00164A84">
        <w:t xml:space="preserve"> SIP </w:t>
      </w:r>
      <w:r w:rsidR="004715B3">
        <w:t xml:space="preserve">manifest, and </w:t>
      </w:r>
      <w:r w:rsidRPr="00F02735">
        <w:t xml:space="preserve">the files identified </w:t>
      </w:r>
      <w:r w:rsidR="001F185B">
        <w:t>the SIP</w:t>
      </w:r>
      <w:r w:rsidRPr="00F02735">
        <w:t xml:space="preserve"> manifest</w:t>
      </w:r>
      <w:r>
        <w:t xml:space="preserve"> into the Deep Archive, while simultaneously checking for anomalies that would </w:t>
      </w:r>
      <w:r w:rsidR="00164A84">
        <w:t>impede</w:t>
      </w:r>
      <w:r>
        <w:t xml:space="preserve"> ingest of the SIP product or any product identified in the manifest</w:t>
      </w:r>
      <w:r w:rsidR="004715B3">
        <w:t>.</w:t>
      </w:r>
    </w:p>
    <w:p w:rsidR="004715B3" w:rsidRDefault="004715B3" w:rsidP="004715B3">
      <w:pPr>
        <w:spacing w:after="120"/>
        <w:ind w:left="360"/>
      </w:pPr>
      <w:r w:rsidRPr="004715B3">
        <w:t xml:space="preserve">Anomalies, such as malformed XML </w:t>
      </w:r>
      <w:r>
        <w:t>for the SIP product</w:t>
      </w:r>
      <w:r w:rsidRPr="004715B3">
        <w:t xml:space="preserve"> will cause </w:t>
      </w:r>
      <w:r>
        <w:t>the NSSDCA to abort and reject the</w:t>
      </w:r>
      <w:r w:rsidRPr="004715B3">
        <w:t xml:space="preserve"> entire delivery, while other errors such as a stale file URL for a basic product</w:t>
      </w:r>
      <w:r>
        <w:t xml:space="preserve"> in the </w:t>
      </w:r>
      <w:r w:rsidR="001F185B">
        <w:t xml:space="preserve">SIP </w:t>
      </w:r>
      <w:r>
        <w:t>manifest</w:t>
      </w:r>
      <w:r w:rsidRPr="004715B3">
        <w:t xml:space="preserve"> will stop the NSSDCA from ingesting that entire product</w:t>
      </w:r>
      <w:r w:rsidR="001F185B">
        <w:t xml:space="preserve"> but the processing of the remaining products will continue</w:t>
      </w:r>
      <w:r>
        <w:t>. Appendix A provides a summary of the checks the NSSDCA performs</w:t>
      </w:r>
      <w:r w:rsidR="001F185B">
        <w:t xml:space="preserve"> and resulting actions</w:t>
      </w:r>
      <w:r>
        <w:t>.</w:t>
      </w:r>
    </w:p>
    <w:p w:rsidR="00892F0D" w:rsidRDefault="004715B3" w:rsidP="00892F0D">
      <w:pPr>
        <w:spacing w:after="0"/>
        <w:ind w:left="360"/>
      </w:pPr>
      <w:r>
        <w:t>Notes:</w:t>
      </w:r>
    </w:p>
    <w:p w:rsidR="00D012F6" w:rsidRDefault="00892F0D" w:rsidP="00BC155B">
      <w:pPr>
        <w:pStyle w:val="ListParagraph"/>
        <w:numPr>
          <w:ilvl w:val="1"/>
          <w:numId w:val="15"/>
        </w:numPr>
        <w:spacing w:after="0"/>
        <w:contextualSpacing w:val="0"/>
      </w:pPr>
      <w:r w:rsidRPr="00892F0D">
        <w:t xml:space="preserve">Successful </w:t>
      </w:r>
      <w:r>
        <w:t xml:space="preserve">checks </w:t>
      </w:r>
      <w:r w:rsidRPr="00892F0D">
        <w:t>ensure</w:t>
      </w:r>
      <w:r>
        <w:t xml:space="preserve"> the</w:t>
      </w:r>
      <w:r w:rsidRPr="00892F0D">
        <w:t xml:space="preserve"> delivery is </w:t>
      </w:r>
      <w:r w:rsidR="00164A84">
        <w:t>incorporated</w:t>
      </w:r>
      <w:r w:rsidRPr="00892F0D">
        <w:t xml:space="preserve"> into </w:t>
      </w:r>
      <w:r>
        <w:t>the Deep Archive</w:t>
      </w:r>
      <w:r w:rsidRPr="00892F0D">
        <w:t xml:space="preserve"> holdings</w:t>
      </w:r>
      <w:r>
        <w:t xml:space="preserve">, </w:t>
      </w:r>
      <w:r w:rsidRPr="00892F0D">
        <w:t xml:space="preserve">where each product </w:t>
      </w:r>
      <w:r>
        <w:t>is re</w:t>
      </w:r>
      <w:r w:rsidR="00164A84">
        <w:t>gistered</w:t>
      </w:r>
      <w:r w:rsidRPr="00892F0D">
        <w:t xml:space="preserve"> </w:t>
      </w:r>
      <w:r>
        <w:t>with a u</w:t>
      </w:r>
      <w:r w:rsidRPr="00892F0D">
        <w:t>nique NSSDCA identifier</w:t>
      </w:r>
      <w:r>
        <w:t>.</w:t>
      </w:r>
    </w:p>
    <w:p w:rsidR="004715B3" w:rsidRDefault="00D012F6" w:rsidP="004715B3">
      <w:pPr>
        <w:pStyle w:val="ListParagraph"/>
        <w:numPr>
          <w:ilvl w:val="1"/>
          <w:numId w:val="15"/>
        </w:numPr>
        <w:spacing w:after="120"/>
        <w:contextualSpacing w:val="0"/>
      </w:pPr>
      <w:r>
        <w:t>The NSSDCA processes and stores the</w:t>
      </w:r>
      <w:r w:rsidRPr="00892F0D">
        <w:t xml:space="preserve"> </w:t>
      </w:r>
      <w:r>
        <w:t>SIP product and</w:t>
      </w:r>
      <w:r w:rsidRPr="00892F0D">
        <w:t xml:space="preserve"> manifest </w:t>
      </w:r>
      <w:r>
        <w:t>in the Deep Archive</w:t>
      </w:r>
      <w:r w:rsidRPr="00892F0D">
        <w:t xml:space="preserve"> repository</w:t>
      </w:r>
      <w:r>
        <w:t xml:space="preserve"> such that </w:t>
      </w:r>
      <w:r w:rsidR="00164A84">
        <w:t xml:space="preserve">the </w:t>
      </w:r>
      <w:r>
        <w:t>SIP can be returned unaltered upon request</w:t>
      </w:r>
      <w:r w:rsidR="004715B3">
        <w:t>.</w:t>
      </w:r>
    </w:p>
    <w:p w:rsidR="00892F0D" w:rsidRDefault="00164A84" w:rsidP="00164A84">
      <w:pPr>
        <w:pStyle w:val="ListParagraph"/>
        <w:numPr>
          <w:ilvl w:val="0"/>
          <w:numId w:val="10"/>
        </w:numPr>
        <w:spacing w:after="120"/>
        <w:contextualSpacing w:val="0"/>
      </w:pPr>
      <w:r>
        <w:lastRenderedPageBreak/>
        <w:t>Upon completion the NSSDCA</w:t>
      </w:r>
      <w:r w:rsidRPr="00164A84">
        <w:t xml:space="preserve"> </w:t>
      </w:r>
      <w:r w:rsidR="005055FA">
        <w:t>records</w:t>
      </w:r>
      <w:r w:rsidR="00512F36">
        <w:t xml:space="preserve"> the status of SIP</w:t>
      </w:r>
      <w:r w:rsidR="00B10AA0">
        <w:t xml:space="preserve"> processing in the PSI </w:t>
      </w:r>
      <w:r w:rsidR="00512F36">
        <w:t xml:space="preserve">(see section 3, Online Status Check) and </w:t>
      </w:r>
      <w:r w:rsidR="00512F36" w:rsidRPr="00081BAF">
        <w:t>alert</w:t>
      </w:r>
      <w:r w:rsidR="00512F36">
        <w:t>s</w:t>
      </w:r>
      <w:r w:rsidR="00512F36" w:rsidRPr="00081BAF">
        <w:t xml:space="preserve"> the PDS Operator </w:t>
      </w:r>
      <w:r w:rsidR="00512F36">
        <w:t>that processing is</w:t>
      </w:r>
      <w:r w:rsidR="00512F36" w:rsidRPr="00081BAF">
        <w:t xml:space="preserve"> </w:t>
      </w:r>
      <w:r w:rsidR="00512F36">
        <w:t>complete.</w:t>
      </w:r>
    </w:p>
    <w:p w:rsidR="00BF5462" w:rsidRDefault="00FD0730" w:rsidP="00BF5462">
      <w:pPr>
        <w:pStyle w:val="ListParagraph"/>
        <w:numPr>
          <w:ilvl w:val="0"/>
          <w:numId w:val="10"/>
        </w:numPr>
        <w:spacing w:after="120"/>
        <w:contextualSpacing w:val="0"/>
      </w:pPr>
      <w:r>
        <w:t>The PDS Operator updates the status of the</w:t>
      </w:r>
      <w:r w:rsidR="00946370">
        <w:t xml:space="preserve"> EN-registered</w:t>
      </w:r>
      <w:r>
        <w:t xml:space="preserve"> SIP </w:t>
      </w:r>
      <w:r w:rsidR="00946370">
        <w:t xml:space="preserve">to delivered </w:t>
      </w:r>
      <w:r>
        <w:t xml:space="preserve">and </w:t>
      </w:r>
      <w:r w:rsidR="00A9229B">
        <w:t xml:space="preserve">sends an email to the PDS Discipline Node </w:t>
      </w:r>
      <w:r w:rsidR="00A9229B" w:rsidRPr="00E04A21">
        <w:t>confirm</w:t>
      </w:r>
      <w:r w:rsidR="00A9229B">
        <w:t>ing</w:t>
      </w:r>
      <w:r w:rsidR="00A9229B" w:rsidRPr="00E04A21">
        <w:t xml:space="preserve"> </w:t>
      </w:r>
      <w:r w:rsidR="00A9229B">
        <w:t xml:space="preserve">the </w:t>
      </w:r>
      <w:r w:rsidR="00A9229B" w:rsidRPr="00E04A21">
        <w:t xml:space="preserve">delivery has </w:t>
      </w:r>
      <w:r w:rsidR="00A9229B">
        <w:t xml:space="preserve">been </w:t>
      </w:r>
      <w:r w:rsidR="00A9229B" w:rsidRPr="00E04A21">
        <w:t>completed</w:t>
      </w:r>
      <w:r>
        <w:t>.</w:t>
      </w:r>
    </w:p>
    <w:p w:rsidR="00512F36" w:rsidRDefault="00512F36" w:rsidP="00512F36">
      <w:pPr>
        <w:spacing w:after="0"/>
        <w:ind w:left="360"/>
      </w:pPr>
      <w:r>
        <w:t>Note:</w:t>
      </w:r>
    </w:p>
    <w:p w:rsidR="00512F36" w:rsidRDefault="00512F36" w:rsidP="00512F36">
      <w:pPr>
        <w:pStyle w:val="ListParagraph"/>
        <w:numPr>
          <w:ilvl w:val="1"/>
          <w:numId w:val="15"/>
        </w:numPr>
        <w:spacing w:after="120"/>
        <w:contextualSpacing w:val="0"/>
      </w:pPr>
      <w:r>
        <w:t xml:space="preserve">When a delivery is rejected or partially ingested, the PDS Discipline Node fixes the problems and resubmits new </w:t>
      </w:r>
      <w:r w:rsidRPr="00F762FC">
        <w:t>PDS Deep Archive Delivery packag</w:t>
      </w:r>
      <w:r>
        <w:t>es until success (i.e., repeats steps 2-5)</w:t>
      </w:r>
      <w:r w:rsidR="00AC5142">
        <w:t>.  When resubmitting, the SIP</w:t>
      </w:r>
      <w:r w:rsidR="00AC5142" w:rsidRPr="00AC5142">
        <w:t xml:space="preserve"> product</w:t>
      </w:r>
      <w:r w:rsidR="00AC5142">
        <w:t>’s version identifier (VID)</w:t>
      </w:r>
      <w:r w:rsidR="00AC5142" w:rsidRPr="00AC5142">
        <w:t xml:space="preserve"> </w:t>
      </w:r>
      <w:r w:rsidR="00AC5142">
        <w:t>must be incremented to ensure uniqueness</w:t>
      </w:r>
      <w:r w:rsidR="00AC5142" w:rsidRPr="00AC5142">
        <w:t>.</w:t>
      </w:r>
    </w:p>
    <w:p w:rsidR="00F674FC" w:rsidRDefault="00F674FC" w:rsidP="000C4C46">
      <w:pPr>
        <w:pStyle w:val="Heading1"/>
      </w:pPr>
      <w:bookmarkStart w:id="6" w:name="_Toc42176996"/>
      <w:bookmarkStart w:id="7" w:name="_Toc42179993"/>
      <w:bookmarkStart w:id="8" w:name="_Toc42180045"/>
      <w:bookmarkStart w:id="9" w:name="_Toc42183197"/>
      <w:bookmarkStart w:id="10" w:name="_Toc42208956"/>
      <w:bookmarkStart w:id="11" w:name="_Toc42209054"/>
      <w:bookmarkStart w:id="12" w:name="_Toc42209120"/>
      <w:bookmarkStart w:id="13" w:name="_Toc42176997"/>
      <w:bookmarkStart w:id="14" w:name="_Toc42177378"/>
      <w:bookmarkStart w:id="15" w:name="_Toc42179994"/>
      <w:bookmarkStart w:id="16" w:name="_Toc42180046"/>
      <w:bookmarkStart w:id="17" w:name="_Toc42183198"/>
      <w:bookmarkStart w:id="18" w:name="_Toc42208957"/>
      <w:bookmarkStart w:id="19" w:name="_Toc42209055"/>
      <w:bookmarkStart w:id="20" w:name="_Toc42209121"/>
      <w:bookmarkStart w:id="21" w:name="_Toc42176998"/>
      <w:bookmarkStart w:id="22" w:name="_Toc42177379"/>
      <w:bookmarkStart w:id="23" w:name="_Toc42179995"/>
      <w:bookmarkStart w:id="24" w:name="_Toc42180047"/>
      <w:bookmarkStart w:id="25" w:name="_Toc42183199"/>
      <w:bookmarkStart w:id="26" w:name="_Toc42208958"/>
      <w:bookmarkStart w:id="27" w:name="_Toc42209056"/>
      <w:bookmarkStart w:id="28" w:name="_Toc42209122"/>
      <w:bookmarkStart w:id="29" w:name="_Toc42781291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t>Online Status Check</w:t>
      </w:r>
      <w:bookmarkEnd w:id="29"/>
    </w:p>
    <w:p w:rsidR="00F674FC" w:rsidRDefault="00894EA2" w:rsidP="000055C2">
      <w:pPr>
        <w:tabs>
          <w:tab w:val="left" w:pos="720"/>
        </w:tabs>
        <w:spacing w:after="120"/>
      </w:pPr>
      <w:r>
        <w:t xml:space="preserve">The PDS Discipline Node and the PDS Operator </w:t>
      </w:r>
      <w:r w:rsidR="00F674FC">
        <w:t xml:space="preserve">can use the PSI to check the status of </w:t>
      </w:r>
      <w:r>
        <w:t xml:space="preserve">a </w:t>
      </w:r>
      <w:r w:rsidR="00885510">
        <w:t xml:space="preserve">submission </w:t>
      </w:r>
      <w:r w:rsidR="00F674FC">
        <w:t xml:space="preserve">(e.g., </w:t>
      </w:r>
      <w:r>
        <w:t>rejected, pre-</w:t>
      </w:r>
      <w:r w:rsidR="00885510">
        <w:t>ingest</w:t>
      </w:r>
      <w:r>
        <w:t xml:space="preserve">, ingested, </w:t>
      </w:r>
      <w:r w:rsidR="00512F36">
        <w:t>partially ingested with exceptions</w:t>
      </w:r>
      <w:r>
        <w:t>)</w:t>
      </w:r>
      <w:r w:rsidR="00F674FC">
        <w:t>:</w:t>
      </w:r>
    </w:p>
    <w:p w:rsidR="00F674FC" w:rsidRDefault="00DF691E" w:rsidP="00F674FC">
      <w:pPr>
        <w:tabs>
          <w:tab w:val="left" w:pos="720"/>
        </w:tabs>
        <w:spacing w:before="240" w:after="120"/>
        <w:ind w:left="360"/>
      </w:pPr>
      <w:hyperlink r:id="rId12" w:history="1">
        <w:r w:rsidR="00F674FC">
          <w:rPr>
            <w:rStyle w:val="Hyperlink"/>
          </w:rPr>
          <w:t>https://nssdc.gsfc.nasa.gov/psi/</w:t>
        </w:r>
      </w:hyperlink>
    </w:p>
    <w:p w:rsidR="00F674FC" w:rsidRDefault="00F674FC" w:rsidP="00F674FC">
      <w:pPr>
        <w:tabs>
          <w:tab w:val="left" w:pos="720"/>
        </w:tabs>
        <w:spacing w:before="240" w:after="120"/>
      </w:pPr>
      <w:r>
        <w:t>Select the PDS</w:t>
      </w:r>
      <w:r w:rsidR="00894EA2">
        <w:t>4</w:t>
      </w:r>
      <w:r>
        <w:t xml:space="preserve"> Reporting tab in the left navigation bar to query by </w:t>
      </w:r>
      <w:r w:rsidR="00512F36">
        <w:t>SIP LID / LIDVID, bundle LID / LIDVID, or collection LID / LIDVID</w:t>
      </w:r>
      <w:r>
        <w:t>.</w:t>
      </w:r>
    </w:p>
    <w:p w:rsidR="00512F36" w:rsidRDefault="00512F36" w:rsidP="00512F36">
      <w:pPr>
        <w:spacing w:after="0"/>
      </w:pPr>
      <w:r>
        <w:t>Note:</w:t>
      </w:r>
    </w:p>
    <w:p w:rsidR="00512F36" w:rsidRDefault="00A9229B" w:rsidP="00A9229B">
      <w:pPr>
        <w:pStyle w:val="ListParagraph"/>
        <w:numPr>
          <w:ilvl w:val="1"/>
          <w:numId w:val="15"/>
        </w:numPr>
        <w:spacing w:after="120"/>
        <w:ind w:left="360"/>
        <w:contextualSpacing w:val="0"/>
      </w:pPr>
      <w:r>
        <w:t xml:space="preserve">Presently the NSSDCA </w:t>
      </w:r>
      <w:r w:rsidR="00BD3F0B">
        <w:t>emails</w:t>
      </w:r>
      <w:r>
        <w:t xml:space="preserve"> </w:t>
      </w:r>
      <w:r w:rsidR="00BD3F0B">
        <w:t>the</w:t>
      </w:r>
      <w:r>
        <w:t xml:space="preserve"> PDS Operator</w:t>
      </w:r>
      <w:r w:rsidR="00BD3F0B">
        <w:t xml:space="preserve"> about specific rejections and failures</w:t>
      </w:r>
      <w:r>
        <w:t xml:space="preserve">.  </w:t>
      </w:r>
      <w:r w:rsidR="00BD3F0B">
        <w:t>To eliminate this manual step, the</w:t>
      </w:r>
      <w:r w:rsidR="00512F36">
        <w:t xml:space="preserve"> </w:t>
      </w:r>
      <w:r w:rsidR="00512F36" w:rsidRPr="00F23395">
        <w:t>NSSDC</w:t>
      </w:r>
      <w:r w:rsidR="00512F36">
        <w:t xml:space="preserve">A </w:t>
      </w:r>
      <w:r w:rsidR="00512F36" w:rsidRPr="00F23395">
        <w:t>intends</w:t>
      </w:r>
      <w:r w:rsidR="00BD3F0B">
        <w:t xml:space="preserve"> to</w:t>
      </w:r>
      <w:r w:rsidR="00512F36">
        <w:t xml:space="preserve"> enhance PDS4 Reporting to identify</w:t>
      </w:r>
      <w:r w:rsidR="00512F36" w:rsidRPr="00F23395">
        <w:t xml:space="preserve"> which products in the </w:t>
      </w:r>
      <w:r w:rsidR="00512F36">
        <w:t xml:space="preserve">SIP </w:t>
      </w:r>
      <w:r w:rsidR="00512F36" w:rsidRPr="00F23395">
        <w:t>were ingested, which ones failed</w:t>
      </w:r>
      <w:r w:rsidR="00512F36">
        <w:t xml:space="preserve"> along with remarks</w:t>
      </w:r>
      <w:r w:rsidR="00512F36" w:rsidRPr="00F23395">
        <w:t xml:space="preserve">, and which ones </w:t>
      </w:r>
      <w:r w:rsidR="00512F36">
        <w:t>were not</w:t>
      </w:r>
      <w:r w:rsidR="00512F36" w:rsidRPr="00F23395">
        <w:t xml:space="preserve"> downloaded because the NSSDCA has already ingested those LIDVIDs</w:t>
      </w:r>
      <w:r w:rsidR="00512F36">
        <w:t xml:space="preserve"> as part of a previous submission.</w:t>
      </w:r>
      <w:r>
        <w:t xml:space="preserve"> </w:t>
      </w:r>
    </w:p>
    <w:p w:rsidR="00F674FC" w:rsidRDefault="00F674FC" w:rsidP="000C4C46">
      <w:pPr>
        <w:pStyle w:val="Heading1"/>
      </w:pPr>
      <w:bookmarkStart w:id="30" w:name="_Toc42781292"/>
      <w:r>
        <w:t>Data Retrieval</w:t>
      </w:r>
      <w:r w:rsidR="00894EA2">
        <w:t xml:space="preserve"> Process</w:t>
      </w:r>
      <w:bookmarkEnd w:id="30"/>
    </w:p>
    <w:p w:rsidR="00797369" w:rsidRDefault="00F674FC" w:rsidP="000055C2">
      <w:pPr>
        <w:tabs>
          <w:tab w:val="left" w:pos="720"/>
        </w:tabs>
        <w:spacing w:after="120"/>
      </w:pPr>
      <w:r>
        <w:t xml:space="preserve">Upon request, NSSDCA will retrieve and return </w:t>
      </w:r>
      <w:r w:rsidR="00894EA2">
        <w:t xml:space="preserve">PDS4 </w:t>
      </w:r>
      <w:r>
        <w:t>data</w:t>
      </w:r>
      <w:r w:rsidR="00797369">
        <w:t xml:space="preserve"> from the Deep Archive</w:t>
      </w:r>
      <w:r>
        <w:t xml:space="preserve"> to the </w:t>
      </w:r>
      <w:r w:rsidR="00894EA2">
        <w:t>submitting PDS Discipline Node</w:t>
      </w:r>
      <w:r w:rsidR="00797369">
        <w:t xml:space="preserve">.  </w:t>
      </w:r>
      <w:r w:rsidR="00797369" w:rsidRPr="00C7691B">
        <w:t xml:space="preserve">The step-by-step procedures and protocols </w:t>
      </w:r>
      <w:r w:rsidR="003D2AC7">
        <w:t>for requesting and</w:t>
      </w:r>
      <w:r w:rsidR="00797369" w:rsidRPr="00C7691B">
        <w:t xml:space="preserve"> </w:t>
      </w:r>
      <w:r w:rsidR="003D2AC7">
        <w:t xml:space="preserve">retrieving </w:t>
      </w:r>
      <w:r w:rsidR="00797369">
        <w:t>PDS4 products</w:t>
      </w:r>
      <w:r w:rsidR="00797369" w:rsidRPr="00C7691B">
        <w:t xml:space="preserve"> </w:t>
      </w:r>
      <w:r w:rsidR="00797369">
        <w:t xml:space="preserve">for </w:t>
      </w:r>
      <w:r w:rsidR="003D2AC7">
        <w:t xml:space="preserve">network </w:t>
      </w:r>
      <w:r w:rsidR="00797369">
        <w:t>distribution</w:t>
      </w:r>
      <w:r w:rsidR="00381F76">
        <w:t xml:space="preserve"> </w:t>
      </w:r>
      <w:r w:rsidR="00797369">
        <w:t xml:space="preserve">to the Submitter </w:t>
      </w:r>
      <w:r w:rsidR="00797369" w:rsidRPr="00C7691B">
        <w:t>are as follows</w:t>
      </w:r>
      <w:r w:rsidR="00797369">
        <w:t>:</w:t>
      </w:r>
    </w:p>
    <w:p w:rsidR="00AF124D" w:rsidRDefault="00AF124D" w:rsidP="00AF124D">
      <w:pPr>
        <w:pStyle w:val="ListParagraph"/>
        <w:numPr>
          <w:ilvl w:val="0"/>
          <w:numId w:val="22"/>
        </w:numPr>
        <w:spacing w:after="120"/>
        <w:contextualSpacing w:val="0"/>
      </w:pPr>
      <w:r>
        <w:t>PDS Discipline Node sends an email request to the NSSDCA Coordinated Request and User Support Office (CRUSO)</w:t>
      </w:r>
      <w:r w:rsidR="001A049E">
        <w:t xml:space="preserve"> at:</w:t>
      </w:r>
    </w:p>
    <w:p w:rsidR="00AF124D" w:rsidRDefault="00DF691E" w:rsidP="00AF124D">
      <w:pPr>
        <w:spacing w:after="120"/>
        <w:ind w:left="720"/>
        <w:contextualSpacing/>
      </w:pPr>
      <w:hyperlink r:id="rId13" w:history="1">
        <w:r w:rsidR="00AF124D" w:rsidRPr="00AF124D">
          <w:rPr>
            <w:rStyle w:val="Hyperlink"/>
          </w:rPr>
          <w:t>nssdc-request@lists.nasa.gov</w:t>
        </w:r>
      </w:hyperlink>
    </w:p>
    <w:p w:rsidR="00AF124D" w:rsidRDefault="00DF691E" w:rsidP="00AF124D">
      <w:pPr>
        <w:spacing w:after="120"/>
        <w:ind w:left="720"/>
      </w:pPr>
      <w:hyperlink r:id="rId14" w:history="1">
        <w:r w:rsidR="00AF124D" w:rsidRPr="00AF124D">
          <w:rPr>
            <w:rStyle w:val="Hyperlink"/>
          </w:rPr>
          <w:t>https://nssdc.gsfc.nasa.gov/about/about_cruso.html</w:t>
        </w:r>
      </w:hyperlink>
    </w:p>
    <w:p w:rsidR="001A049E" w:rsidRDefault="001A049E" w:rsidP="001A049E">
      <w:pPr>
        <w:spacing w:after="120"/>
        <w:ind w:left="360"/>
      </w:pPr>
      <w:r w:rsidRPr="001A049E">
        <w:t xml:space="preserve">indicating one or more </w:t>
      </w:r>
      <w:r>
        <w:t xml:space="preserve">PDS4 </w:t>
      </w:r>
      <w:r w:rsidRPr="001A049E">
        <w:t xml:space="preserve">products to be retrieved by </w:t>
      </w:r>
      <w:r>
        <w:t>listing</w:t>
      </w:r>
      <w:r w:rsidRPr="001A049E">
        <w:t xml:space="preserve"> the specific LID(s) or LIDVID(s).  To ensure the correct instance of each product is retrieved, the LIDVID(s) for the associated Product_SIP_Deep_Archive product(s) should be provided.</w:t>
      </w:r>
    </w:p>
    <w:p w:rsidR="001A049E" w:rsidRDefault="001A049E" w:rsidP="001A049E">
      <w:pPr>
        <w:spacing w:after="120"/>
        <w:ind w:left="360"/>
      </w:pPr>
      <w:r>
        <w:t>NSSDCA can retrieve PDS4 data on the basis of:</w:t>
      </w:r>
    </w:p>
    <w:p w:rsidR="001A049E" w:rsidRDefault="001A049E" w:rsidP="001A049E">
      <w:pPr>
        <w:pStyle w:val="ListParagraph"/>
        <w:numPr>
          <w:ilvl w:val="0"/>
          <w:numId w:val="23"/>
        </w:numPr>
        <w:spacing w:after="120"/>
      </w:pPr>
      <w:r>
        <w:lastRenderedPageBreak/>
        <w:t>Bundle LID or LIDVID</w:t>
      </w:r>
    </w:p>
    <w:p w:rsidR="001A049E" w:rsidRDefault="001A049E" w:rsidP="001A049E">
      <w:pPr>
        <w:pStyle w:val="ListParagraph"/>
        <w:numPr>
          <w:ilvl w:val="0"/>
          <w:numId w:val="23"/>
        </w:numPr>
        <w:spacing w:after="120"/>
      </w:pPr>
      <w:r>
        <w:t>Collection LID or LIDVID</w:t>
      </w:r>
    </w:p>
    <w:p w:rsidR="001A049E" w:rsidRDefault="001A049E" w:rsidP="001A049E">
      <w:pPr>
        <w:pStyle w:val="ListParagraph"/>
        <w:numPr>
          <w:ilvl w:val="0"/>
          <w:numId w:val="23"/>
        </w:numPr>
        <w:spacing w:after="120"/>
      </w:pPr>
      <w:r>
        <w:t>Basic Product LID or LIDVID</w:t>
      </w:r>
    </w:p>
    <w:p w:rsidR="001A049E" w:rsidRDefault="001A049E" w:rsidP="001A049E">
      <w:pPr>
        <w:pStyle w:val="ListParagraph"/>
        <w:numPr>
          <w:ilvl w:val="0"/>
          <w:numId w:val="23"/>
        </w:numPr>
        <w:spacing w:after="120"/>
      </w:pPr>
      <w:r>
        <w:t>SIP LID or LIDVID</w:t>
      </w:r>
    </w:p>
    <w:p w:rsidR="00381F76" w:rsidRDefault="00381F76" w:rsidP="00381F76">
      <w:pPr>
        <w:spacing w:after="120"/>
        <w:ind w:left="360"/>
      </w:pPr>
      <w:r>
        <w:t>If the LID is specified, the NSSDCA will retrieve the highest version (LIDVID)</w:t>
      </w:r>
      <w:r w:rsidR="009B4B50">
        <w:t xml:space="preserve"> of that </w:t>
      </w:r>
      <w:r w:rsidR="000E4B2C">
        <w:t>product</w:t>
      </w:r>
      <w:r>
        <w:t xml:space="preserve"> from the Deep Archive.</w:t>
      </w:r>
    </w:p>
    <w:p w:rsidR="00381F76" w:rsidRDefault="00381F76" w:rsidP="00381F76">
      <w:pPr>
        <w:pStyle w:val="ListParagraph"/>
        <w:numPr>
          <w:ilvl w:val="0"/>
          <w:numId w:val="22"/>
        </w:numPr>
        <w:spacing w:after="120"/>
        <w:contextualSpacing w:val="0"/>
      </w:pPr>
      <w:r w:rsidRPr="00381F76">
        <w:t xml:space="preserve">CRUSO receives the email request and acknowledges the request by email with a reply of estimated time of preparation </w:t>
      </w:r>
      <w:r w:rsidR="00D177B0">
        <w:t>for</w:t>
      </w:r>
      <w:r w:rsidR="00D177B0" w:rsidRPr="00381F76">
        <w:t xml:space="preserve"> </w:t>
      </w:r>
      <w:r>
        <w:t>network</w:t>
      </w:r>
      <w:r w:rsidRPr="00381F76">
        <w:t xml:space="preserve"> delivery to </w:t>
      </w:r>
      <w:r>
        <w:t>the PDS Discipline Node.</w:t>
      </w:r>
    </w:p>
    <w:p w:rsidR="00381F76" w:rsidRDefault="00381F76" w:rsidP="00381F76">
      <w:pPr>
        <w:pStyle w:val="ListParagraph"/>
        <w:numPr>
          <w:ilvl w:val="0"/>
          <w:numId w:val="22"/>
        </w:numPr>
        <w:spacing w:after="120"/>
        <w:contextualSpacing w:val="0"/>
      </w:pPr>
      <w:r>
        <w:t xml:space="preserve">NSSDCA retrieves and </w:t>
      </w:r>
      <w:r w:rsidRPr="00381F76">
        <w:t>stages the requested product</w:t>
      </w:r>
      <w:r w:rsidR="003D2AC7">
        <w:t>(</w:t>
      </w:r>
      <w:r w:rsidRPr="00381F76">
        <w:t>s</w:t>
      </w:r>
      <w:r w:rsidR="003D2AC7">
        <w:t>)</w:t>
      </w:r>
      <w:r w:rsidRPr="00381F76">
        <w:t xml:space="preserve"> online</w:t>
      </w:r>
      <w:r>
        <w:t>.</w:t>
      </w:r>
    </w:p>
    <w:p w:rsidR="00381F76" w:rsidRDefault="00381F76" w:rsidP="00381F76">
      <w:pPr>
        <w:pStyle w:val="ListParagraph"/>
        <w:numPr>
          <w:ilvl w:val="0"/>
          <w:numId w:val="22"/>
        </w:numPr>
        <w:spacing w:after="120"/>
        <w:contextualSpacing w:val="0"/>
      </w:pPr>
      <w:r w:rsidRPr="00381F76">
        <w:t>CRUSO sends an email</w:t>
      </w:r>
      <w:r w:rsidR="00D177B0">
        <w:t xml:space="preserve"> to</w:t>
      </w:r>
      <w:r w:rsidRPr="00381F76">
        <w:t xml:space="preserve"> </w:t>
      </w:r>
      <w:r>
        <w:t>the PDS Discipline Node</w:t>
      </w:r>
      <w:r w:rsidRPr="00381F76">
        <w:t xml:space="preserve"> with </w:t>
      </w:r>
      <w:r w:rsidR="003D2AC7">
        <w:rPr>
          <w:bCs/>
        </w:rPr>
        <w:t>instructions for downloading the data</w:t>
      </w:r>
      <w:r w:rsidRPr="00381F76">
        <w:t>.</w:t>
      </w:r>
    </w:p>
    <w:p w:rsidR="00F674FC" w:rsidRPr="00EA6BFE" w:rsidRDefault="00F674FC" w:rsidP="000C4C46">
      <w:pPr>
        <w:pStyle w:val="Heading1"/>
      </w:pPr>
      <w:bookmarkStart w:id="31" w:name="_Toc29365365"/>
      <w:bookmarkStart w:id="32" w:name="_Toc29473471"/>
      <w:bookmarkStart w:id="33" w:name="_Toc29473572"/>
      <w:bookmarkStart w:id="34" w:name="_Toc29365366"/>
      <w:bookmarkStart w:id="35" w:name="_Toc29473472"/>
      <w:bookmarkStart w:id="36" w:name="_Toc29473573"/>
      <w:bookmarkStart w:id="37" w:name="_Toc42781293"/>
      <w:bookmarkEnd w:id="1"/>
      <w:bookmarkEnd w:id="31"/>
      <w:bookmarkEnd w:id="32"/>
      <w:bookmarkEnd w:id="33"/>
      <w:bookmarkEnd w:id="34"/>
      <w:bookmarkEnd w:id="35"/>
      <w:bookmarkEnd w:id="36"/>
      <w:r>
        <w:t>Glossary</w:t>
      </w:r>
      <w:bookmarkEnd w:id="37"/>
    </w:p>
    <w:p w:rsidR="00282741" w:rsidRPr="000702D5" w:rsidRDefault="00282741" w:rsidP="00282741">
      <w:pPr>
        <w:spacing w:before="120" w:after="120"/>
        <w:rPr>
          <w:b/>
          <w:bCs/>
        </w:rPr>
      </w:pPr>
      <w:r>
        <w:rPr>
          <w:b/>
          <w:bCs/>
        </w:rPr>
        <w:t>Archive</w:t>
      </w:r>
      <w:r w:rsidRPr="000702D5">
        <w:rPr>
          <w:b/>
          <w:bCs/>
        </w:rPr>
        <w:t xml:space="preserve"> Information Package (</w:t>
      </w:r>
      <w:r>
        <w:rPr>
          <w:b/>
          <w:bCs/>
        </w:rPr>
        <w:t>AIP</w:t>
      </w:r>
      <w:r w:rsidRPr="000702D5">
        <w:rPr>
          <w:b/>
          <w:bCs/>
        </w:rPr>
        <w:t>)</w:t>
      </w:r>
    </w:p>
    <w:p w:rsidR="00282741" w:rsidRDefault="001D43ED" w:rsidP="00282741">
      <w:pPr>
        <w:spacing w:before="120" w:after="120"/>
      </w:pPr>
      <w:r>
        <w:t>The</w:t>
      </w:r>
      <w:r w:rsidR="00282741">
        <w:t xml:space="preserve"> digital information package </w:t>
      </w:r>
      <w:r>
        <w:t>for submitting a PDS4 bundle from a PDS Discipline Node to the PDS Operator for registration and tracking purposes</w:t>
      </w:r>
      <w:r w:rsidR="000E4B2C">
        <w:t xml:space="preserve"> within</w:t>
      </w:r>
      <w:r>
        <w:t xml:space="preserve"> PDS system.  </w:t>
      </w:r>
      <w:r w:rsidR="00282741">
        <w:t>The AIP</w:t>
      </w:r>
      <w:r>
        <w:t xml:space="preserve"> </w:t>
      </w:r>
      <w:r w:rsidR="00282741">
        <w:t xml:space="preserve">consists of </w:t>
      </w:r>
      <w:r w:rsidR="00CB75AA">
        <w:t>three</w:t>
      </w:r>
      <w:r w:rsidR="00282741">
        <w:t xml:space="preserve"> components:</w:t>
      </w:r>
    </w:p>
    <w:p w:rsidR="00282741" w:rsidRDefault="000E4B2C" w:rsidP="00A87867">
      <w:pPr>
        <w:pStyle w:val="ListParagraph"/>
        <w:numPr>
          <w:ilvl w:val="0"/>
          <w:numId w:val="17"/>
        </w:numPr>
        <w:spacing w:before="120" w:after="120"/>
        <w:ind w:left="360"/>
        <w:contextualSpacing w:val="0"/>
      </w:pPr>
      <w:r>
        <w:t>A</w:t>
      </w:r>
      <w:r w:rsidR="00282741">
        <w:t>IP product:  An XML label containing Product_AIP, which is defined in the PDS4 Information Model. The AIP product identifies the bundle to be submitted to EN</w:t>
      </w:r>
      <w:r>
        <w:t xml:space="preserve"> for registration in the PDS System</w:t>
      </w:r>
      <w:r w:rsidR="00282741">
        <w:t>.</w:t>
      </w:r>
    </w:p>
    <w:p w:rsidR="00282741" w:rsidRDefault="000E4B2C" w:rsidP="00A87867">
      <w:pPr>
        <w:pStyle w:val="ListParagraph"/>
        <w:numPr>
          <w:ilvl w:val="0"/>
          <w:numId w:val="17"/>
        </w:numPr>
        <w:spacing w:before="120" w:after="120"/>
        <w:ind w:left="360"/>
        <w:contextualSpacing w:val="0"/>
      </w:pPr>
      <w:r>
        <w:t xml:space="preserve">Checksum </w:t>
      </w:r>
      <w:r w:rsidR="00282741" w:rsidRPr="0016168C">
        <w:t>manifest</w:t>
      </w:r>
      <w:r w:rsidR="00282741">
        <w:t xml:space="preserve">: </w:t>
      </w:r>
      <w:r>
        <w:t>A</w:t>
      </w:r>
      <w:r w:rsidR="00282741">
        <w:t xml:space="preserve"> </w:t>
      </w:r>
      <w:r>
        <w:t>two</w:t>
      </w:r>
      <w:r w:rsidR="00282741">
        <w:t xml:space="preserve">-column tab-delimited ASCII table that identifies all files for </w:t>
      </w:r>
      <w:r w:rsidR="00282741" w:rsidRPr="00CB75AA">
        <w:rPr>
          <w:i/>
          <w:iCs/>
        </w:rPr>
        <w:t>all products</w:t>
      </w:r>
      <w:r w:rsidR="00282741">
        <w:t xml:space="preserve"> within that bundle. Each record in th</w:t>
      </w:r>
      <w:r>
        <w:t xml:space="preserve">is </w:t>
      </w:r>
      <w:r w:rsidR="00282741">
        <w:t>manifest provides the</w:t>
      </w:r>
      <w:r>
        <w:t xml:space="preserve"> file specification name and the checksum for that file</w:t>
      </w:r>
      <w:r w:rsidR="00A87867">
        <w:t>.</w:t>
      </w:r>
    </w:p>
    <w:p w:rsidR="000E4B2C" w:rsidRDefault="000E4B2C" w:rsidP="00A87867">
      <w:pPr>
        <w:pStyle w:val="ListParagraph"/>
        <w:numPr>
          <w:ilvl w:val="0"/>
          <w:numId w:val="17"/>
        </w:numPr>
        <w:spacing w:before="120" w:after="120"/>
        <w:ind w:left="360"/>
        <w:contextualSpacing w:val="0"/>
      </w:pPr>
      <w:r>
        <w:t xml:space="preserve">Transfer </w:t>
      </w:r>
      <w:r w:rsidRPr="0016168C">
        <w:t>manifest</w:t>
      </w:r>
      <w:r>
        <w:t xml:space="preserve">: A two-column tab-delimited ASCII table that identifies all files for </w:t>
      </w:r>
      <w:r w:rsidRPr="00CB75AA">
        <w:rPr>
          <w:i/>
          <w:iCs/>
        </w:rPr>
        <w:t>all products</w:t>
      </w:r>
      <w:r>
        <w:t xml:space="preserve"> within that bundle. Each record in </w:t>
      </w:r>
      <w:r w:rsidR="00CB75AA">
        <w:t>this</w:t>
      </w:r>
      <w:r>
        <w:t xml:space="preserve"> manifest provides the </w:t>
      </w:r>
      <w:r w:rsidR="00CB75AA">
        <w:t>file specification name and the product LIDVID.</w:t>
      </w:r>
    </w:p>
    <w:p w:rsidR="00F674FC" w:rsidRPr="000702D5" w:rsidRDefault="00F674FC" w:rsidP="00F674FC">
      <w:pPr>
        <w:spacing w:before="120" w:after="120"/>
        <w:rPr>
          <w:b/>
          <w:bCs/>
        </w:rPr>
      </w:pPr>
      <w:r w:rsidRPr="000702D5">
        <w:rPr>
          <w:b/>
          <w:bCs/>
        </w:rPr>
        <w:t>Submission Information Package (SIP)</w:t>
      </w:r>
    </w:p>
    <w:p w:rsidR="00EE050C" w:rsidRDefault="001D43ED" w:rsidP="00EE050C">
      <w:pPr>
        <w:spacing w:before="120" w:after="120"/>
      </w:pPr>
      <w:r>
        <w:t xml:space="preserve">The </w:t>
      </w:r>
      <w:r w:rsidR="00F674FC">
        <w:t xml:space="preserve">digital information package </w:t>
      </w:r>
      <w:r w:rsidR="00EE050C">
        <w:t xml:space="preserve">for delivering a </w:t>
      </w:r>
      <w:r>
        <w:t xml:space="preserve">PDS4 </w:t>
      </w:r>
      <w:r w:rsidR="00EE050C">
        <w:t>bundle from</w:t>
      </w:r>
      <w:r w:rsidR="00F674FC">
        <w:t xml:space="preserve"> </w:t>
      </w:r>
      <w:r w:rsidR="00EE050C">
        <w:t>a PDS Discipline Node to the</w:t>
      </w:r>
      <w:r>
        <w:t xml:space="preserve"> NSSDCA Deep Archive</w:t>
      </w:r>
      <w:r w:rsidR="000E4B2C">
        <w:t xml:space="preserve">.  </w:t>
      </w:r>
      <w:r w:rsidR="0016168C">
        <w:t>SIP</w:t>
      </w:r>
      <w:r>
        <w:t xml:space="preserve"> </w:t>
      </w:r>
      <w:r w:rsidR="0016168C">
        <w:t>consists of two components:</w:t>
      </w:r>
    </w:p>
    <w:p w:rsidR="00F037AF" w:rsidRDefault="0016168C" w:rsidP="00783199">
      <w:pPr>
        <w:pStyle w:val="ListParagraph"/>
        <w:numPr>
          <w:ilvl w:val="0"/>
          <w:numId w:val="16"/>
        </w:numPr>
        <w:spacing w:before="120" w:after="120"/>
        <w:ind w:left="360"/>
        <w:contextualSpacing w:val="0"/>
      </w:pPr>
      <w:r>
        <w:t>SIP product:  An XML label</w:t>
      </w:r>
      <w:r w:rsidR="00F037AF">
        <w:t xml:space="preserve"> containing </w:t>
      </w:r>
      <w:r>
        <w:t>Product_SIP_Deep_Archive</w:t>
      </w:r>
      <w:r w:rsidR="00F037AF">
        <w:t>, which is defined in the PDS4 Information Model. The SIP product identifies the bundle to be submitted to NSSDC</w:t>
      </w:r>
      <w:r w:rsidR="00723772">
        <w:t>A and the submitting PDS Discipline Node; and specifies the URL of the</w:t>
      </w:r>
      <w:r w:rsidR="00CB75AA">
        <w:t xml:space="preserve"> SIP</w:t>
      </w:r>
      <w:r w:rsidR="00723772">
        <w:t xml:space="preserve"> manifest and the checksum for that file.</w:t>
      </w:r>
    </w:p>
    <w:p w:rsidR="0016168C" w:rsidRDefault="000E4B2C" w:rsidP="0016168C">
      <w:pPr>
        <w:pStyle w:val="ListParagraph"/>
        <w:numPr>
          <w:ilvl w:val="0"/>
          <w:numId w:val="16"/>
        </w:numPr>
        <w:spacing w:before="120" w:after="120"/>
        <w:ind w:left="360"/>
        <w:contextualSpacing w:val="0"/>
      </w:pPr>
      <w:r>
        <w:t xml:space="preserve">SIP </w:t>
      </w:r>
      <w:r w:rsidR="0016168C" w:rsidRPr="0016168C">
        <w:t>manifest</w:t>
      </w:r>
      <w:r w:rsidR="00F037AF">
        <w:t xml:space="preserve">:  A </w:t>
      </w:r>
      <w:r w:rsidR="00282741">
        <w:t xml:space="preserve">four-column tab-delimited </w:t>
      </w:r>
      <w:r w:rsidR="00F037AF">
        <w:t xml:space="preserve">ASCII table that identifies all files for </w:t>
      </w:r>
      <w:r w:rsidR="00F037AF" w:rsidRPr="00CB75AA">
        <w:rPr>
          <w:i/>
          <w:iCs/>
        </w:rPr>
        <w:t>all primary products</w:t>
      </w:r>
      <w:r w:rsidR="00F037AF" w:rsidRPr="00CB75AA">
        <w:t xml:space="preserve"> within that bundle</w:t>
      </w:r>
      <w:r w:rsidR="00F037AF">
        <w:t xml:space="preserve"> to be </w:t>
      </w:r>
      <w:r w:rsidR="00723772">
        <w:t>transmitted and ingested</w:t>
      </w:r>
      <w:r w:rsidR="00F037AF">
        <w:t xml:space="preserve">. </w:t>
      </w:r>
      <w:r w:rsidR="00282741">
        <w:t xml:space="preserve">Each record in </w:t>
      </w:r>
      <w:r>
        <w:t>this</w:t>
      </w:r>
      <w:r w:rsidR="00282741">
        <w:t xml:space="preserve"> manifest provides the information the NSSDCA needs to </w:t>
      </w:r>
      <w:r w:rsidR="00F037AF">
        <w:t xml:space="preserve">download, check fixity, </w:t>
      </w:r>
      <w:r w:rsidR="00F037AF">
        <w:lastRenderedPageBreak/>
        <w:t xml:space="preserve">and ingest </w:t>
      </w:r>
      <w:r w:rsidR="00282741">
        <w:t xml:space="preserve">one </w:t>
      </w:r>
      <w:r w:rsidR="00F037AF">
        <w:t>file</w:t>
      </w:r>
      <w:r w:rsidR="00282741">
        <w:t>: its checksum, checksum type, URL, checksum, and LIDVID, respectively</w:t>
      </w:r>
      <w:r w:rsidR="00A87867">
        <w:t>.</w:t>
      </w:r>
    </w:p>
    <w:p w:rsidR="00282741" w:rsidRPr="00EA6BFE" w:rsidRDefault="00282741" w:rsidP="00CB75AA">
      <w:pPr>
        <w:keepNext/>
        <w:spacing w:before="120" w:after="120"/>
        <w:rPr>
          <w:b/>
          <w:bCs/>
        </w:rPr>
      </w:pPr>
      <w:r w:rsidRPr="00EA6BFE">
        <w:rPr>
          <w:b/>
          <w:bCs/>
        </w:rPr>
        <w:t>LIDVID</w:t>
      </w:r>
    </w:p>
    <w:p w:rsidR="00062412" w:rsidRPr="00062412" w:rsidRDefault="00282741" w:rsidP="00CB75AA">
      <w:pPr>
        <w:keepNext/>
        <w:spacing w:before="120" w:after="120"/>
      </w:pPr>
      <w:r>
        <w:t xml:space="preserve">The logical identifier (LID) and version identifier (VID) used to uniquely </w:t>
      </w:r>
      <w:r w:rsidR="00B7341B">
        <w:t>identify</w:t>
      </w:r>
      <w:r>
        <w:t xml:space="preserve"> a PDS4 product</w:t>
      </w:r>
      <w:r w:rsidR="00B7341B">
        <w:t xml:space="preserve"> </w:t>
      </w:r>
      <w:r w:rsidR="00B7341B" w:rsidRPr="00B7341B">
        <w:t>within the PDS domain.</w:t>
      </w:r>
    </w:p>
    <w:p w:rsidR="000055C2" w:rsidRDefault="000055C2" w:rsidP="000C4C46">
      <w:pPr>
        <w:pStyle w:val="Heading1"/>
        <w:numPr>
          <w:ilvl w:val="0"/>
          <w:numId w:val="0"/>
        </w:numPr>
      </w:pPr>
      <w:bookmarkStart w:id="38" w:name="_Toc42781294"/>
      <w:r>
        <w:t>Appendix</w:t>
      </w:r>
      <w:r w:rsidR="000C4C46">
        <w:t xml:space="preserve"> A</w:t>
      </w:r>
      <w:r w:rsidR="004B29BF">
        <w:t xml:space="preserve"> – Checks Performed by NSSDCA</w:t>
      </w:r>
      <w:bookmarkEnd w:id="38"/>
    </w:p>
    <w:p w:rsidR="005B13A4" w:rsidRDefault="00783199" w:rsidP="005B13A4">
      <w:pPr>
        <w:spacing w:after="120"/>
      </w:pPr>
      <w:r>
        <w:t>The appendix</w:t>
      </w:r>
      <w:r w:rsidR="000055C2" w:rsidRPr="00E26097">
        <w:t xml:space="preserve"> </w:t>
      </w:r>
      <w:r>
        <w:t>summarizes</w:t>
      </w:r>
      <w:r w:rsidR="005B13A4">
        <w:t xml:space="preserve"> the checks </w:t>
      </w:r>
      <w:r>
        <w:t>performed</w:t>
      </w:r>
      <w:r w:rsidR="005B13A4">
        <w:t xml:space="preserve"> NSSDCA</w:t>
      </w:r>
      <w:r w:rsidR="000055C2">
        <w:t>:</w:t>
      </w:r>
    </w:p>
    <w:p w:rsidR="005B13A4" w:rsidRDefault="005B13A4" w:rsidP="00783199">
      <w:pPr>
        <w:pStyle w:val="ListParagraph"/>
        <w:numPr>
          <w:ilvl w:val="0"/>
          <w:numId w:val="25"/>
        </w:numPr>
        <w:spacing w:before="120" w:after="120"/>
        <w:ind w:left="360"/>
        <w:contextualSpacing w:val="0"/>
      </w:pPr>
      <w:r>
        <w:t xml:space="preserve">The LIDVID for the SIP product must </w:t>
      </w:r>
      <w:r w:rsidR="00783199">
        <w:t xml:space="preserve">be </w:t>
      </w:r>
      <w:r>
        <w:t xml:space="preserve">unique (i.e., </w:t>
      </w:r>
      <w:r w:rsidR="00783199">
        <w:t>was</w:t>
      </w:r>
      <w:r>
        <w:t xml:space="preserve"> not previously submitted</w:t>
      </w:r>
      <w:r w:rsidR="00783199">
        <w:t xml:space="preserve"> to the NSSDCA</w:t>
      </w:r>
      <w:r w:rsidR="003B0F71">
        <w:t xml:space="preserve">). Otherwise the </w:t>
      </w:r>
      <w:r w:rsidR="00512F36">
        <w:t xml:space="preserve">submission (i.e., the SIP) </w:t>
      </w:r>
      <w:r w:rsidR="007C61F3">
        <w:t>is rejected</w:t>
      </w:r>
      <w:r w:rsidR="003B0F71">
        <w:t>.</w:t>
      </w:r>
    </w:p>
    <w:p w:rsidR="005B13A4" w:rsidRDefault="005B13A4" w:rsidP="00783199">
      <w:pPr>
        <w:pStyle w:val="ListParagraph"/>
        <w:numPr>
          <w:ilvl w:val="0"/>
          <w:numId w:val="25"/>
        </w:numPr>
        <w:spacing w:before="120" w:after="120"/>
        <w:ind w:left="360"/>
        <w:contextualSpacing w:val="0"/>
      </w:pPr>
      <w:r>
        <w:t>The SIP product must have well-formed XML and must adhere to the schema specified in the XML</w:t>
      </w:r>
      <w:r w:rsidR="003B0F71">
        <w:t xml:space="preserve">. Otherwise the submission </w:t>
      </w:r>
      <w:r w:rsidR="007C61F3">
        <w:t>is rejected</w:t>
      </w:r>
      <w:r w:rsidR="003B0F71">
        <w:t>.</w:t>
      </w:r>
    </w:p>
    <w:p w:rsidR="00E72932" w:rsidRDefault="005B13A4" w:rsidP="00783199">
      <w:pPr>
        <w:pStyle w:val="ListParagraph"/>
        <w:numPr>
          <w:ilvl w:val="0"/>
          <w:numId w:val="25"/>
        </w:numPr>
        <w:spacing w:before="120" w:after="120"/>
        <w:ind w:left="360"/>
        <w:contextualSpacing w:val="0"/>
      </w:pPr>
      <w:r>
        <w:t xml:space="preserve">The checksum of the SIP product recorded by the PSI upon submission must </w:t>
      </w:r>
      <w:r w:rsidR="00E72932">
        <w:t xml:space="preserve">match the checksum computed as the NSSDCA downloads </w:t>
      </w:r>
      <w:r w:rsidR="003B0F71">
        <w:t>that</w:t>
      </w:r>
      <w:r w:rsidR="00E72932">
        <w:t xml:space="preserve"> product.</w:t>
      </w:r>
      <w:r w:rsidR="003B0F71">
        <w:t xml:space="preserve"> Otherwise the submission </w:t>
      </w:r>
      <w:r w:rsidR="007C61F3">
        <w:t>is rejected.</w:t>
      </w:r>
    </w:p>
    <w:p w:rsidR="00E72932" w:rsidRDefault="00E72932" w:rsidP="00783199">
      <w:pPr>
        <w:pStyle w:val="ListParagraph"/>
        <w:numPr>
          <w:ilvl w:val="0"/>
          <w:numId w:val="25"/>
        </w:numPr>
        <w:spacing w:before="120" w:after="120"/>
        <w:ind w:left="360"/>
        <w:contextualSpacing w:val="0"/>
      </w:pPr>
      <w:r>
        <w:t>The checksum of the SIP manifest specified in the SIP product must match the checksum computed as the NSSDCA downloads the SIP manifest</w:t>
      </w:r>
      <w:r w:rsidR="005B13A4">
        <w:t>.</w:t>
      </w:r>
      <w:r w:rsidR="003B0F71">
        <w:t xml:space="preserve"> Otherwise the submission </w:t>
      </w:r>
      <w:r w:rsidR="007C61F3">
        <w:t>is rejected</w:t>
      </w:r>
      <w:r w:rsidR="003B0F71">
        <w:t>.</w:t>
      </w:r>
    </w:p>
    <w:p w:rsidR="00E72932" w:rsidRDefault="00E72932" w:rsidP="00783199">
      <w:pPr>
        <w:pStyle w:val="ListParagraph"/>
        <w:numPr>
          <w:ilvl w:val="0"/>
          <w:numId w:val="25"/>
        </w:numPr>
        <w:spacing w:before="120" w:after="120"/>
        <w:ind w:left="360"/>
        <w:contextualSpacing w:val="0"/>
      </w:pPr>
      <w:r>
        <w:t xml:space="preserve">The checksum specified for the bundle product in the SIP manifest must match the checksum computed as the NSSDCA downloads </w:t>
      </w:r>
      <w:r w:rsidR="003B0F71">
        <w:t>that</w:t>
      </w:r>
      <w:r>
        <w:t xml:space="preserve"> product.</w:t>
      </w:r>
      <w:r w:rsidR="003B0F71">
        <w:t xml:space="preserve"> Otherwise the submission </w:t>
      </w:r>
      <w:r w:rsidR="007C61F3">
        <w:t>is rejected</w:t>
      </w:r>
      <w:r w:rsidR="003B0F71">
        <w:t>.</w:t>
      </w:r>
    </w:p>
    <w:p w:rsidR="005B13A4" w:rsidRDefault="00E72932" w:rsidP="00783199">
      <w:pPr>
        <w:pStyle w:val="ListParagraph"/>
        <w:numPr>
          <w:ilvl w:val="0"/>
          <w:numId w:val="25"/>
        </w:numPr>
        <w:spacing w:before="120" w:after="120"/>
        <w:ind w:left="360"/>
        <w:contextualSpacing w:val="0"/>
      </w:pPr>
      <w:r>
        <w:t>The downloaded bundle product must have well-formed XML and must adhere to the schema specified in the XML.</w:t>
      </w:r>
      <w:r w:rsidR="003B0F71">
        <w:t xml:space="preserve"> Otherwise the submission </w:t>
      </w:r>
      <w:r w:rsidR="007C61F3">
        <w:t>is rejected</w:t>
      </w:r>
      <w:r w:rsidR="003B0F71">
        <w:t>.</w:t>
      </w:r>
    </w:p>
    <w:p w:rsidR="007C61F3" w:rsidRDefault="007C61F3" w:rsidP="00783199">
      <w:pPr>
        <w:pStyle w:val="ListParagraph"/>
        <w:numPr>
          <w:ilvl w:val="0"/>
          <w:numId w:val="25"/>
        </w:numPr>
        <w:spacing w:before="120" w:after="120"/>
        <w:ind w:left="360"/>
        <w:contextualSpacing w:val="0"/>
      </w:pPr>
      <w:r>
        <w:t xml:space="preserve">Every URL listed </w:t>
      </w:r>
      <w:r w:rsidR="00D177B0">
        <w:t xml:space="preserve">in the </w:t>
      </w:r>
      <w:r>
        <w:t xml:space="preserve">SIP </w:t>
      </w:r>
      <w:r w:rsidRPr="00287B7B">
        <w:t>manifest</w:t>
      </w:r>
      <w:r>
        <w:t xml:space="preserve"> must be unique.  Otherwise the submission is rejected.</w:t>
      </w:r>
    </w:p>
    <w:p w:rsidR="00E72932" w:rsidRDefault="00E72932" w:rsidP="00783199">
      <w:pPr>
        <w:pStyle w:val="ListParagraph"/>
        <w:numPr>
          <w:ilvl w:val="0"/>
          <w:numId w:val="25"/>
        </w:numPr>
        <w:spacing w:before="120" w:after="120"/>
        <w:ind w:left="360"/>
        <w:contextualSpacing w:val="0"/>
      </w:pPr>
      <w:r>
        <w:t xml:space="preserve">The checksum specified for each collection product in the SIP manifest must match the checksum computed as the NSSDCA downloads </w:t>
      </w:r>
      <w:r w:rsidR="003B0F71">
        <w:t>that</w:t>
      </w:r>
      <w:r>
        <w:t xml:space="preserve"> collection product.</w:t>
      </w:r>
      <w:r w:rsidR="003B0F71">
        <w:t xml:space="preserve"> If not, the anomaly is recorded for that collection product but processing continues.</w:t>
      </w:r>
    </w:p>
    <w:p w:rsidR="00E72932" w:rsidRDefault="00E72932" w:rsidP="00783199">
      <w:pPr>
        <w:pStyle w:val="ListParagraph"/>
        <w:numPr>
          <w:ilvl w:val="0"/>
          <w:numId w:val="25"/>
        </w:numPr>
        <w:spacing w:before="120" w:after="120"/>
        <w:ind w:left="360"/>
        <w:contextualSpacing w:val="0"/>
      </w:pPr>
      <w:r>
        <w:t>Each downloaded collection product must have well-formed XML and must adhere to the schema specified in the XML.</w:t>
      </w:r>
      <w:r w:rsidR="00AA5ED5">
        <w:t xml:space="preserve"> If not, the anomaly is recorded for that collection product but processing continues.</w:t>
      </w:r>
    </w:p>
    <w:p w:rsidR="007C61F3" w:rsidRDefault="007C61F3" w:rsidP="007C61F3">
      <w:pPr>
        <w:pStyle w:val="ListParagraph"/>
        <w:numPr>
          <w:ilvl w:val="0"/>
          <w:numId w:val="25"/>
        </w:numPr>
        <w:spacing w:before="120" w:after="120"/>
        <w:ind w:left="360"/>
        <w:contextualSpacing w:val="0"/>
      </w:pPr>
      <w:r>
        <w:t>Each c</w:t>
      </w:r>
      <w:r w:rsidRPr="00287B7B">
        <w:t>ollection product</w:t>
      </w:r>
      <w:r>
        <w:t xml:space="preserve"> listed in the SIP manifest </w:t>
      </w:r>
      <w:r w:rsidRPr="00287B7B">
        <w:t>must</w:t>
      </w:r>
      <w:r>
        <w:t xml:space="preserve"> also</w:t>
      </w:r>
      <w:r w:rsidRPr="00287B7B">
        <w:t xml:space="preserve"> have an inventory table file</w:t>
      </w:r>
      <w:r>
        <w:t xml:space="preserve"> with an extension of ‘.csv’ listed. If not, the anomaly is recorded for that collection product; that collection product is not ingested but processing of the submission continues.</w:t>
      </w:r>
    </w:p>
    <w:p w:rsidR="007C61F3" w:rsidRDefault="007C61F3" w:rsidP="007C61F3">
      <w:pPr>
        <w:pStyle w:val="ListParagraph"/>
        <w:numPr>
          <w:ilvl w:val="0"/>
          <w:numId w:val="25"/>
        </w:numPr>
        <w:spacing w:before="120" w:after="120"/>
        <w:ind w:left="360"/>
        <w:contextualSpacing w:val="0"/>
      </w:pPr>
      <w:r>
        <w:lastRenderedPageBreak/>
        <w:t>Each c</w:t>
      </w:r>
      <w:r w:rsidRPr="00287B7B">
        <w:t>ollection</w:t>
      </w:r>
      <w:r>
        <w:t xml:space="preserve"> product</w:t>
      </w:r>
      <w:r w:rsidRPr="00287B7B">
        <w:t xml:space="preserve"> </w:t>
      </w:r>
      <w:r>
        <w:t xml:space="preserve">listed in the SIP manifest </w:t>
      </w:r>
      <w:r w:rsidRPr="00287B7B">
        <w:t xml:space="preserve">must have </w:t>
      </w:r>
      <w:r>
        <w:t xml:space="preserve">a </w:t>
      </w:r>
      <w:r w:rsidRPr="00287B7B">
        <w:t>label file</w:t>
      </w:r>
      <w:r>
        <w:t xml:space="preserve"> with an extension of ‘.xml’</w:t>
      </w:r>
      <w:r w:rsidRPr="00287B7B">
        <w:t>.</w:t>
      </w:r>
      <w:r>
        <w:t xml:space="preserve"> If not, the anomaly is recorded for that collection product; that collection product is not ingested but processing of the submission continues.</w:t>
      </w:r>
    </w:p>
    <w:p w:rsidR="007C61F3" w:rsidRDefault="007C61F3" w:rsidP="007C61F3">
      <w:pPr>
        <w:pStyle w:val="ListParagraph"/>
        <w:numPr>
          <w:ilvl w:val="0"/>
          <w:numId w:val="25"/>
        </w:numPr>
        <w:spacing w:before="120" w:after="120"/>
        <w:ind w:left="360"/>
        <w:contextualSpacing w:val="0"/>
      </w:pPr>
      <w:r>
        <w:t>Each basic product</w:t>
      </w:r>
      <w:r w:rsidRPr="00287B7B">
        <w:t xml:space="preserve"> </w:t>
      </w:r>
      <w:r>
        <w:t xml:space="preserve">listed in the SIP manifest </w:t>
      </w:r>
      <w:r w:rsidRPr="00287B7B">
        <w:t xml:space="preserve">must have </w:t>
      </w:r>
      <w:r>
        <w:t xml:space="preserve">a </w:t>
      </w:r>
      <w:r w:rsidRPr="00287B7B">
        <w:t>label file</w:t>
      </w:r>
      <w:r>
        <w:t xml:space="preserve"> with an extension of ‘.xml’</w:t>
      </w:r>
      <w:r w:rsidRPr="00287B7B">
        <w:t>.</w:t>
      </w:r>
      <w:r>
        <w:t xml:space="preserve"> If not, the anomaly is recorded for that basic product; that basic product is not ingested but processing of the submission continues.</w:t>
      </w:r>
    </w:p>
    <w:p w:rsidR="007C61F3" w:rsidRDefault="007C61F3" w:rsidP="007C61F3">
      <w:pPr>
        <w:pStyle w:val="ListParagraph"/>
        <w:numPr>
          <w:ilvl w:val="0"/>
          <w:numId w:val="25"/>
        </w:numPr>
        <w:spacing w:before="120" w:after="120"/>
        <w:ind w:left="360"/>
        <w:contextualSpacing w:val="0"/>
      </w:pPr>
      <w:r>
        <w:t>For each collection product listed in the SIP manifest, its LIDVID must have the bundle LID.  If not, the anomaly is recorded for that collection product; that collection product is not ingested but processing of the submission continues.</w:t>
      </w:r>
    </w:p>
    <w:p w:rsidR="007C61F3" w:rsidRDefault="007C61F3" w:rsidP="007C61F3">
      <w:pPr>
        <w:pStyle w:val="ListParagraph"/>
        <w:numPr>
          <w:ilvl w:val="0"/>
          <w:numId w:val="25"/>
        </w:numPr>
        <w:spacing w:before="120" w:after="120"/>
        <w:ind w:left="360"/>
        <w:contextualSpacing w:val="0"/>
      </w:pPr>
      <w:r>
        <w:t xml:space="preserve">For each basic product listed in the SIP manifest, its LIDVID must have the </w:t>
      </w:r>
      <w:r w:rsidR="00D177B0">
        <w:t>collection LID and the collection LID must include the bundle LID</w:t>
      </w:r>
      <w:r>
        <w:t>.  If not, the anomaly is recorded for that basic product; that basic product is not ingested but processing of the submission continues.</w:t>
      </w:r>
    </w:p>
    <w:p w:rsidR="000055C2" w:rsidRDefault="000055C2" w:rsidP="00206791">
      <w:pPr>
        <w:spacing w:after="0"/>
      </w:pPr>
    </w:p>
    <w:sectPr w:rsidR="000055C2" w:rsidSect="004F64D7">
      <w:headerReference w:type="even" r:id="rId15"/>
      <w:footerReference w:type="even" r:id="rId16"/>
      <w:footerReference w:type="default" r:id="rId17"/>
      <w:pgSz w:w="12240" w:h="15840"/>
      <w:pgMar w:top="1440" w:right="1800" w:bottom="1440" w:left="1800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691E" w:rsidRDefault="00DF691E" w:rsidP="00F674FC">
      <w:pPr>
        <w:spacing w:after="0" w:line="240" w:lineRule="auto"/>
      </w:pPr>
      <w:r>
        <w:separator/>
      </w:r>
    </w:p>
  </w:endnote>
  <w:endnote w:type="continuationSeparator" w:id="0">
    <w:p w:rsidR="00DF691E" w:rsidRDefault="00DF691E" w:rsidP="00F6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799311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A50E1" w:rsidRDefault="002A50E1" w:rsidP="002A50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9E2F3" w:themeColor="accent1" w:themeTint="33"/>
        <w:bottom w:val="single" w:sz="18" w:space="0" w:color="4472C4" w:themeColor="accent1"/>
        <w:right w:val="single" w:sz="8" w:space="0" w:color="D9E2F3" w:themeColor="accent1" w:themeTint="33"/>
      </w:tblBorders>
      <w:shd w:val="clear" w:color="auto" w:fill="D9E2F3" w:themeFill="accent1" w:themeFillTint="33"/>
      <w:tblLook w:val="0600" w:firstRow="0" w:lastRow="0" w:firstColumn="0" w:lastColumn="0" w:noHBand="1" w:noVBand="1"/>
    </w:tblPr>
    <w:tblGrid>
      <w:gridCol w:w="617"/>
      <w:gridCol w:w="7895"/>
    </w:tblGrid>
    <w:tr w:rsidR="002A50E1" w:rsidRPr="00BE5695" w:rsidTr="002A50E1">
      <w:tc>
        <w:tcPr>
          <w:tcW w:w="630" w:type="dxa"/>
          <w:shd w:val="clear" w:color="auto" w:fill="D9E2F3" w:themeFill="accent1" w:themeFillTint="33"/>
        </w:tcPr>
        <w:p w:rsidR="002A50E1" w:rsidRPr="00BE5695" w:rsidRDefault="002A50E1" w:rsidP="00693DA2">
          <w:pPr>
            <w:ind w:right="360"/>
            <w:jc w:val="center"/>
            <w:rPr>
              <w:rFonts w:ascii="Calibri" w:hAnsi="Calibri"/>
              <w:b/>
            </w:rPr>
          </w:pPr>
        </w:p>
      </w:tc>
      <w:tc>
        <w:tcPr>
          <w:tcW w:w="8118" w:type="dxa"/>
          <w:shd w:val="clear" w:color="auto" w:fill="D9E2F3" w:themeFill="accent1" w:themeFillTint="33"/>
        </w:tcPr>
        <w:p w:rsidR="002A50E1" w:rsidRPr="00BE5695" w:rsidRDefault="00DF691E" w:rsidP="002A50E1">
          <w:pPr>
            <w:rPr>
              <w:rFonts w:ascii="Calibri" w:eastAsiaTheme="majorEastAsia" w:hAnsi="Calibri" w:cstheme="majorBidi"/>
              <w:b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bdr w:val="single" w:sz="4" w:space="0" w:color="FFFFFF" w:themeColor="background1"/>
              </w:rPr>
              <w:alias w:val="Title"/>
              <w:id w:val="-179367164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10066C">
                <w:rPr>
                  <w:rFonts w:ascii="Calibri" w:eastAsiaTheme="majorEastAsia" w:hAnsi="Calibri" w:cstheme="majorBidi"/>
                  <w:b/>
                  <w:bdr w:val="single" w:sz="4" w:space="0" w:color="FFFFFF" w:themeColor="background1"/>
                </w:rPr>
                <w:t>Process for Submission of PDS4 Data to NSSDCA</w:t>
              </w:r>
            </w:sdtContent>
          </w:sdt>
        </w:p>
      </w:tc>
    </w:tr>
  </w:tbl>
  <w:p w:rsidR="002A50E1" w:rsidRDefault="002A50E1">
    <w:pPr>
      <w:pStyle w:val="Footer"/>
    </w:pPr>
  </w:p>
  <w:p w:rsidR="002A50E1" w:rsidRDefault="002A50E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112913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A50E1" w:rsidRDefault="002A50E1" w:rsidP="002A50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2A50E1" w:rsidRDefault="002A50E1" w:rsidP="00693DA2">
    <w:pPr>
      <w:pStyle w:val="Footer"/>
      <w:ind w:right="360"/>
    </w:pPr>
  </w:p>
  <w:p w:rsidR="002A50E1" w:rsidRDefault="002A50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691E" w:rsidRDefault="00DF691E" w:rsidP="00F674FC">
      <w:pPr>
        <w:spacing w:after="0" w:line="240" w:lineRule="auto"/>
      </w:pPr>
      <w:r>
        <w:separator/>
      </w:r>
    </w:p>
  </w:footnote>
  <w:footnote w:type="continuationSeparator" w:id="0">
    <w:p w:rsidR="00DF691E" w:rsidRDefault="00DF691E" w:rsidP="00F67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50E1" w:rsidRDefault="002A50E1">
    <w:pPr>
      <w:pStyle w:val="Header"/>
    </w:pPr>
  </w:p>
  <w:p w:rsidR="002A50E1" w:rsidRDefault="002A50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60A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6F12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D66D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3D46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6160FC3"/>
    <w:multiLevelType w:val="multilevel"/>
    <w:tmpl w:val="9C7CED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7F93BEA"/>
    <w:multiLevelType w:val="hybridMultilevel"/>
    <w:tmpl w:val="5B1229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AAC40E2"/>
    <w:multiLevelType w:val="hybridMultilevel"/>
    <w:tmpl w:val="DC18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00EA1"/>
    <w:multiLevelType w:val="hybridMultilevel"/>
    <w:tmpl w:val="DDB64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7414A7"/>
    <w:multiLevelType w:val="hybridMultilevel"/>
    <w:tmpl w:val="F60A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42D90"/>
    <w:multiLevelType w:val="hybridMultilevel"/>
    <w:tmpl w:val="F424C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24237"/>
    <w:multiLevelType w:val="multilevel"/>
    <w:tmpl w:val="073A822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FCA5C90"/>
    <w:multiLevelType w:val="hybridMultilevel"/>
    <w:tmpl w:val="B6381B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367BF"/>
    <w:multiLevelType w:val="hybridMultilevel"/>
    <w:tmpl w:val="BE068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804398"/>
    <w:multiLevelType w:val="hybridMultilevel"/>
    <w:tmpl w:val="B3E4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05736"/>
    <w:multiLevelType w:val="multilevel"/>
    <w:tmpl w:val="EA94E4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1090BE1"/>
    <w:multiLevelType w:val="hybridMultilevel"/>
    <w:tmpl w:val="BD1A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E7A88"/>
    <w:multiLevelType w:val="hybridMultilevel"/>
    <w:tmpl w:val="06CC2D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B51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85F0638"/>
    <w:multiLevelType w:val="multilevel"/>
    <w:tmpl w:val="69C0790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AAB1FE8"/>
    <w:multiLevelType w:val="multilevel"/>
    <w:tmpl w:val="88AA631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B464324"/>
    <w:multiLevelType w:val="multilevel"/>
    <w:tmpl w:val="9BF815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516"/>
        </w:tabs>
        <w:ind w:left="6516" w:hanging="576"/>
      </w:pPr>
      <w:rPr>
        <w:b/>
        <w:bCs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574"/>
        </w:tabs>
        <w:ind w:left="257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EAD6B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3CA0A75"/>
    <w:multiLevelType w:val="hybridMultilevel"/>
    <w:tmpl w:val="B768A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06AF6"/>
    <w:multiLevelType w:val="hybridMultilevel"/>
    <w:tmpl w:val="42A40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0B1F7D"/>
    <w:multiLevelType w:val="hybridMultilevel"/>
    <w:tmpl w:val="7138F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2"/>
  </w:num>
  <w:num w:numId="4">
    <w:abstractNumId w:val="7"/>
  </w:num>
  <w:num w:numId="5">
    <w:abstractNumId w:val="5"/>
  </w:num>
  <w:num w:numId="6">
    <w:abstractNumId w:val="11"/>
  </w:num>
  <w:num w:numId="7">
    <w:abstractNumId w:val="6"/>
  </w:num>
  <w:num w:numId="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9"/>
  </w:num>
  <w:num w:numId="12">
    <w:abstractNumId w:val="0"/>
  </w:num>
  <w:num w:numId="13">
    <w:abstractNumId w:val="10"/>
  </w:num>
  <w:num w:numId="14">
    <w:abstractNumId w:val="14"/>
  </w:num>
  <w:num w:numId="15">
    <w:abstractNumId w:val="18"/>
  </w:num>
  <w:num w:numId="16">
    <w:abstractNumId w:val="13"/>
  </w:num>
  <w:num w:numId="17">
    <w:abstractNumId w:val="15"/>
  </w:num>
  <w:num w:numId="18">
    <w:abstractNumId w:val="4"/>
  </w:num>
  <w:num w:numId="19">
    <w:abstractNumId w:val="17"/>
  </w:num>
  <w:num w:numId="20">
    <w:abstractNumId w:val="21"/>
  </w:num>
  <w:num w:numId="21">
    <w:abstractNumId w:val="2"/>
  </w:num>
  <w:num w:numId="22">
    <w:abstractNumId w:val="1"/>
  </w:num>
  <w:num w:numId="23">
    <w:abstractNumId w:val="24"/>
  </w:num>
  <w:num w:numId="24">
    <w:abstractNumId w:val="1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FC"/>
    <w:rsid w:val="000055C2"/>
    <w:rsid w:val="00062412"/>
    <w:rsid w:val="000A7BE3"/>
    <w:rsid w:val="000C4C46"/>
    <w:rsid w:val="000D0E0F"/>
    <w:rsid w:val="000E4B2C"/>
    <w:rsid w:val="0010066C"/>
    <w:rsid w:val="00124142"/>
    <w:rsid w:val="001250FB"/>
    <w:rsid w:val="0016168C"/>
    <w:rsid w:val="00164A84"/>
    <w:rsid w:val="001909A7"/>
    <w:rsid w:val="001A049E"/>
    <w:rsid w:val="001C1463"/>
    <w:rsid w:val="001D43ED"/>
    <w:rsid w:val="001E1DBA"/>
    <w:rsid w:val="001F185B"/>
    <w:rsid w:val="00206791"/>
    <w:rsid w:val="00244961"/>
    <w:rsid w:val="00282741"/>
    <w:rsid w:val="00286225"/>
    <w:rsid w:val="00296283"/>
    <w:rsid w:val="002A50E1"/>
    <w:rsid w:val="002A5F7B"/>
    <w:rsid w:val="002A7057"/>
    <w:rsid w:val="002D4D32"/>
    <w:rsid w:val="002E22D5"/>
    <w:rsid w:val="002F33DB"/>
    <w:rsid w:val="00342ED7"/>
    <w:rsid w:val="00370CEB"/>
    <w:rsid w:val="00381F76"/>
    <w:rsid w:val="003A1E46"/>
    <w:rsid w:val="003B0F71"/>
    <w:rsid w:val="003B320E"/>
    <w:rsid w:val="003D2AC7"/>
    <w:rsid w:val="00430B38"/>
    <w:rsid w:val="00440D89"/>
    <w:rsid w:val="004715B3"/>
    <w:rsid w:val="004B29BF"/>
    <w:rsid w:val="004B56CC"/>
    <w:rsid w:val="004F64D7"/>
    <w:rsid w:val="005055FA"/>
    <w:rsid w:val="00512F36"/>
    <w:rsid w:val="00580818"/>
    <w:rsid w:val="005B13A4"/>
    <w:rsid w:val="005B4861"/>
    <w:rsid w:val="005C5403"/>
    <w:rsid w:val="005D31B1"/>
    <w:rsid w:val="005F6C9A"/>
    <w:rsid w:val="005F7D69"/>
    <w:rsid w:val="00624471"/>
    <w:rsid w:val="00624A8D"/>
    <w:rsid w:val="00645A43"/>
    <w:rsid w:val="00646DD6"/>
    <w:rsid w:val="00690193"/>
    <w:rsid w:val="00693DA2"/>
    <w:rsid w:val="00695E0F"/>
    <w:rsid w:val="006E45EC"/>
    <w:rsid w:val="00723772"/>
    <w:rsid w:val="007325D3"/>
    <w:rsid w:val="007428C5"/>
    <w:rsid w:val="007721E5"/>
    <w:rsid w:val="00783199"/>
    <w:rsid w:val="0078516B"/>
    <w:rsid w:val="00797369"/>
    <w:rsid w:val="007B3679"/>
    <w:rsid w:val="007C5B4C"/>
    <w:rsid w:val="007C6177"/>
    <w:rsid w:val="007C61F3"/>
    <w:rsid w:val="00805C71"/>
    <w:rsid w:val="00881649"/>
    <w:rsid w:val="00885510"/>
    <w:rsid w:val="00892F0D"/>
    <w:rsid w:val="00894EA2"/>
    <w:rsid w:val="008C4A99"/>
    <w:rsid w:val="008F0FB9"/>
    <w:rsid w:val="00946290"/>
    <w:rsid w:val="00946370"/>
    <w:rsid w:val="009B4B50"/>
    <w:rsid w:val="009B4C50"/>
    <w:rsid w:val="009B7DDF"/>
    <w:rsid w:val="00A109E6"/>
    <w:rsid w:val="00A87867"/>
    <w:rsid w:val="00A9229B"/>
    <w:rsid w:val="00A96F40"/>
    <w:rsid w:val="00AA1D97"/>
    <w:rsid w:val="00AA5ED5"/>
    <w:rsid w:val="00AC5142"/>
    <w:rsid w:val="00AF124D"/>
    <w:rsid w:val="00B10AA0"/>
    <w:rsid w:val="00B15B98"/>
    <w:rsid w:val="00B42D94"/>
    <w:rsid w:val="00B47920"/>
    <w:rsid w:val="00B6163C"/>
    <w:rsid w:val="00B7341B"/>
    <w:rsid w:val="00B944EA"/>
    <w:rsid w:val="00BB3C80"/>
    <w:rsid w:val="00BD3F0B"/>
    <w:rsid w:val="00BF5462"/>
    <w:rsid w:val="00C25998"/>
    <w:rsid w:val="00CB75AA"/>
    <w:rsid w:val="00CC6237"/>
    <w:rsid w:val="00D012F6"/>
    <w:rsid w:val="00D177B0"/>
    <w:rsid w:val="00D30CEF"/>
    <w:rsid w:val="00D44C69"/>
    <w:rsid w:val="00D64026"/>
    <w:rsid w:val="00D800E7"/>
    <w:rsid w:val="00D86117"/>
    <w:rsid w:val="00DE52BA"/>
    <w:rsid w:val="00DF691E"/>
    <w:rsid w:val="00E04A21"/>
    <w:rsid w:val="00E04E8B"/>
    <w:rsid w:val="00E22254"/>
    <w:rsid w:val="00E2315B"/>
    <w:rsid w:val="00E72932"/>
    <w:rsid w:val="00E81129"/>
    <w:rsid w:val="00E83A84"/>
    <w:rsid w:val="00ED1F9C"/>
    <w:rsid w:val="00EE050C"/>
    <w:rsid w:val="00EE29E0"/>
    <w:rsid w:val="00F0232B"/>
    <w:rsid w:val="00F02735"/>
    <w:rsid w:val="00F037AF"/>
    <w:rsid w:val="00F31D4D"/>
    <w:rsid w:val="00F370CA"/>
    <w:rsid w:val="00F60B84"/>
    <w:rsid w:val="00F674FC"/>
    <w:rsid w:val="00F762FC"/>
    <w:rsid w:val="00FD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D5B64A-E332-FE4F-8669-3103EC94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4FC"/>
    <w:pPr>
      <w:spacing w:after="160" w:line="259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Heading2"/>
    <w:link w:val="Heading1Char"/>
    <w:qFormat/>
    <w:rsid w:val="00F674FC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Heading3"/>
    <w:link w:val="Heading2Char"/>
    <w:qFormat/>
    <w:rsid w:val="00F674FC"/>
    <w:pPr>
      <w:keepNext/>
      <w:numPr>
        <w:ilvl w:val="1"/>
        <w:numId w:val="1"/>
      </w:numPr>
      <w:tabs>
        <w:tab w:val="clear" w:pos="6516"/>
        <w:tab w:val="num" w:pos="576"/>
      </w:tabs>
      <w:spacing w:before="240" w:after="60"/>
      <w:ind w:left="576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Heading4"/>
    <w:link w:val="Heading3Char"/>
    <w:qFormat/>
    <w:rsid w:val="00F674FC"/>
    <w:pPr>
      <w:keepNext/>
      <w:numPr>
        <w:ilvl w:val="2"/>
        <w:numId w:val="1"/>
      </w:numPr>
      <w:spacing w:before="240" w:after="60"/>
      <w:outlineLvl w:val="2"/>
    </w:pPr>
    <w:rPr>
      <w:szCs w:val="26"/>
    </w:rPr>
  </w:style>
  <w:style w:type="paragraph" w:styleId="Heading4">
    <w:name w:val="heading 4"/>
    <w:basedOn w:val="Normal"/>
    <w:next w:val="Normal"/>
    <w:link w:val="Heading4Char"/>
    <w:qFormat/>
    <w:rsid w:val="00F674FC"/>
    <w:pPr>
      <w:keepNext/>
      <w:numPr>
        <w:ilvl w:val="3"/>
        <w:numId w:val="1"/>
      </w:numPr>
      <w:spacing w:before="240" w:after="60"/>
      <w:outlineLvl w:val="3"/>
    </w:pPr>
    <w:rPr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F674FC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674FC"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674F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674F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674FC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74FC"/>
    <w:rPr>
      <w:rFonts w:ascii="Arial" w:eastAsia="Times New Roman" w:hAnsi="Arial" w:cs="Times New Roman"/>
      <w:b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674FC"/>
    <w:rPr>
      <w:rFonts w:ascii="Arial" w:eastAsia="Times New Roman" w:hAnsi="Arial" w:cs="Times New Roman"/>
      <w:b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674FC"/>
    <w:rPr>
      <w:rFonts w:ascii="Times New Roman" w:eastAsia="Times New Roman" w:hAnsi="Times New Roman" w:cs="Times New Roman"/>
      <w:szCs w:val="26"/>
    </w:rPr>
  </w:style>
  <w:style w:type="character" w:customStyle="1" w:styleId="Heading4Char">
    <w:name w:val="Heading 4 Char"/>
    <w:basedOn w:val="DefaultParagraphFont"/>
    <w:link w:val="Heading4"/>
    <w:rsid w:val="00F674FC"/>
    <w:rPr>
      <w:rFonts w:ascii="Times New Roman" w:eastAsia="Times New Roman" w:hAnsi="Times New Roman" w:cs="Times New Roman"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F674FC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674FC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674FC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F674FC"/>
    <w:rPr>
      <w:rFonts w:ascii="Times New Roman" w:eastAsia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F674FC"/>
    <w:rPr>
      <w:rFonts w:ascii="Arial" w:eastAsia="Times New Roman" w:hAnsi="Arial" w:cs="Times New Roman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674F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674FC"/>
    <w:pPr>
      <w:tabs>
        <w:tab w:val="left" w:pos="382"/>
        <w:tab w:val="right" w:leader="dot" w:pos="863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F674FC"/>
    <w:pPr>
      <w:keepNext/>
      <w:tabs>
        <w:tab w:val="left" w:pos="792"/>
        <w:tab w:val="right" w:leader="dot" w:pos="8630"/>
      </w:tabs>
      <w:ind w:left="245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674FC"/>
    <w:pPr>
      <w:tabs>
        <w:tab w:val="left" w:pos="1176"/>
        <w:tab w:val="right" w:leader="dot" w:pos="8630"/>
      </w:tabs>
      <w:ind w:left="475"/>
    </w:pPr>
    <w:rPr>
      <w:rFonts w:asciiTheme="minorHAnsi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674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4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74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4FC"/>
    <w:rPr>
      <w:rFonts w:ascii="Times New Roman" w:eastAsia="Times New Roman" w:hAnsi="Times New Roman" w:cs="Times New Roman"/>
    </w:rPr>
  </w:style>
  <w:style w:type="table" w:styleId="LightShading-Accent1">
    <w:name w:val="Light Shading Accent 1"/>
    <w:basedOn w:val="TableNormal"/>
    <w:uiPriority w:val="60"/>
    <w:rsid w:val="00F674FC"/>
    <w:rPr>
      <w:rFonts w:eastAsiaTheme="minorEastAsia"/>
      <w:color w:val="2F5496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674F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4F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4FC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24A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168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93DA2"/>
  </w:style>
  <w:style w:type="character" w:styleId="FollowedHyperlink">
    <w:name w:val="FollowedHyperlink"/>
    <w:basedOn w:val="DefaultParagraphFont"/>
    <w:uiPriority w:val="99"/>
    <w:semiHidden/>
    <w:unhideWhenUsed/>
    <w:rsid w:val="00772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s.nasa.gov/datastandards/about/" TargetMode="External"/><Relationship Id="rId13" Type="http://schemas.openxmlformats.org/officeDocument/2006/relationships/hyperlink" Target="mailto:nssdc-request@lists.nasa.gov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sa-pds.github.io/validate/" TargetMode="External"/><Relationship Id="rId12" Type="http://schemas.openxmlformats.org/officeDocument/2006/relationships/hyperlink" Target="https://nssdc.gsfc.nasa.gov/psi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ssdc.gsfc.nasa.gov/psi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ds.nasa.gov/data/pds4/manifest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asa-pds.github.io/pds-deep-archive/" TargetMode="External"/><Relationship Id="rId14" Type="http://schemas.openxmlformats.org/officeDocument/2006/relationships/hyperlink" Target="https://nssdc.gsfc.nasa.gov/about/about_crus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2004</Words>
  <Characters>11426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for Submission of PDS4 Data to NSSDCA</vt:lpstr>
    </vt:vector>
  </TitlesOfParts>
  <Manager/>
  <Company>GSFC / NSSDCA</Company>
  <LinksUpToDate>false</LinksUpToDate>
  <CharactersWithSpaces>13404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for Submission of PDS4 Data to NSSDCA</dc:title>
  <dc:subject/>
  <dc:creator>NSSDCA</dc:creator>
  <cp:keywords/>
  <dc:description/>
  <cp:lastModifiedBy>mclaughlin</cp:lastModifiedBy>
  <cp:revision>4</cp:revision>
  <dcterms:created xsi:type="dcterms:W3CDTF">2020-07-01T14:49:00Z</dcterms:created>
  <dcterms:modified xsi:type="dcterms:W3CDTF">2020-07-02T17:27:00Z</dcterms:modified>
  <cp:category/>
</cp:coreProperties>
</file>