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61"/>
        <w:gridCol w:w="1344"/>
        <w:gridCol w:w="100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6695EB30" w:rsidR="00AB7768" w:rsidRPr="001C0550" w:rsidRDefault="00CA336C" w:rsidP="0096500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61" w:type="dxa"/>
          </w:tcPr>
          <w:p w14:paraId="58463C44" w14:textId="3EA9151C" w:rsidR="00AB7768" w:rsidRPr="007F1894" w:rsidRDefault="00CA336C" w:rsidP="001316FF">
            <w:r>
              <w:t>This use case inclu</w:t>
            </w:r>
            <w:r w:rsidR="001316FF">
              <w:t xml:space="preserve">des a flow for reverting (changing workflow status </w:t>
            </w:r>
            <w:r>
              <w:t xml:space="preserve">from pending to draft), but not a flow for changing </w:t>
            </w:r>
            <w:r w:rsidR="001316FF">
              <w:t>workflow status d</w:t>
            </w:r>
            <w:r>
              <w:t>raft to pending?</w:t>
            </w:r>
            <w:r w:rsidR="00D570E3">
              <w:t xml:space="preserve">  It is anticipated that the ability to change </w:t>
            </w:r>
            <w:r w:rsidR="001316FF">
              <w:t xml:space="preserve">workflow </w:t>
            </w:r>
            <w:r w:rsidR="00D570E3">
              <w:t>stat</w:t>
            </w:r>
            <w:r w:rsidR="001316FF">
              <w:t>us</w:t>
            </w:r>
            <w:r w:rsidR="00D570E3">
              <w:t xml:space="preserve"> from draft to pending will occur at the end of the workflow rather than in this use case.</w:t>
            </w:r>
          </w:p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013BAABB" w:rsidR="00AB7768" w:rsidRPr="00DA5097" w:rsidRDefault="00D570E3" w:rsidP="00965004">
            <w:r>
              <w:t>Closed</w:t>
            </w:r>
          </w:p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0FB34829" w:rsidR="0056138A" w:rsidRDefault="0056138A" w:rsidP="0096500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61" w:type="dxa"/>
          </w:tcPr>
          <w:p w14:paraId="5D79B116" w14:textId="65335E88" w:rsidR="0056138A" w:rsidRDefault="00485919" w:rsidP="00CA336C">
            <w:r>
              <w:t xml:space="preserve">What is the impact of the </w:t>
            </w:r>
            <w:r w:rsidR="0056138A">
              <w:t xml:space="preserve">initial provider profile </w:t>
            </w:r>
            <w:r>
              <w:t xml:space="preserve">being </w:t>
            </w:r>
            <w:r w:rsidR="0056138A">
              <w:t>denied</w:t>
            </w:r>
            <w:r>
              <w:t xml:space="preserve"> (no MMIS records are created)?</w:t>
            </w:r>
          </w:p>
          <w:p w14:paraId="0CFEA03C" w14:textId="1B7C0BAA" w:rsidR="0056138A" w:rsidRDefault="0056138A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provider profile </w:t>
            </w:r>
            <w:r w:rsidR="000A0279">
              <w:t xml:space="preserve">cannot be accessed </w:t>
            </w:r>
            <w:r>
              <w:t xml:space="preserve">via MN-ITS because MN-ITS credentials </w:t>
            </w:r>
            <w:r w:rsidR="000A0279">
              <w:t xml:space="preserve">are only issues when </w:t>
            </w:r>
            <w:r>
              <w:t>MMIS records are created</w:t>
            </w:r>
          </w:p>
          <w:p w14:paraId="6BEA0749" w14:textId="1A1F6D9A" w:rsidR="000A0279" w:rsidRDefault="000A0279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user must create a new </w:t>
            </w:r>
            <w:r w:rsidRPr="0056138A">
              <w:t xml:space="preserve">provider </w:t>
            </w:r>
            <w:r>
              <w:t xml:space="preserve">application </w:t>
            </w:r>
            <w:r w:rsidRPr="0056138A">
              <w:t>(and pay the application fee)</w:t>
            </w:r>
            <w:r w:rsidR="00485919">
              <w:t xml:space="preserve"> if they want to attempt enrolling again</w:t>
            </w:r>
          </w:p>
          <w:p w14:paraId="0315F436" w14:textId="5D11C99E" w:rsidR="0056138A" w:rsidRPr="000A0279" w:rsidRDefault="000A0279" w:rsidP="00485919">
            <w:pPr>
              <w:pStyle w:val="ListParagraph"/>
              <w:numPr>
                <w:ilvl w:val="0"/>
                <w:numId w:val="30"/>
              </w:numPr>
            </w:pPr>
            <w:r>
              <w:t xml:space="preserve">Denied provider profiles should display </w:t>
            </w:r>
            <w:r w:rsidR="0056138A" w:rsidRPr="0056138A">
              <w:t>for 30 days</w:t>
            </w:r>
            <w:r w:rsidR="00464092">
              <w:t xml:space="preserve"> (</w:t>
            </w:r>
            <w:r w:rsidR="00485919">
              <w:t>a</w:t>
            </w:r>
            <w:r w:rsidR="00464092">
              <w:t>dded use case rule 116 for this requirement)</w:t>
            </w:r>
          </w:p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044A31C4" w:rsidR="0056138A" w:rsidRDefault="00464092" w:rsidP="00965004">
            <w:r>
              <w:t>Closed</w:t>
            </w:r>
          </w:p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11B455D4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</w:t>
      </w:r>
      <w:r w:rsidR="0045026C" w:rsidRPr="007740AC">
        <w:rPr>
          <w:u w:val="double"/>
        </w:rPr>
        <w:t xml:space="preserve">provider </w:t>
      </w:r>
      <w:r w:rsidR="00BF5AA0" w:rsidRPr="007740AC">
        <w:rPr>
          <w:u w:val="double"/>
        </w:rPr>
        <w:t>enroller</w:t>
      </w:r>
      <w:r w:rsidR="00BF5AA0">
        <w:t>, which</w:t>
      </w:r>
      <w:r w:rsidR="0045026C">
        <w:t xml:space="preserve"> accessed </w:t>
      </w:r>
      <w:r w:rsidR="004C2705">
        <w:t xml:space="preserve">MPSE </w:t>
      </w:r>
      <w:r w:rsidR="0045026C">
        <w:t xml:space="preserve">via the </w:t>
      </w:r>
      <w:r w:rsidR="007740AC">
        <w:t xml:space="preserve">public </w:t>
      </w:r>
      <w:r w:rsidR="0045026C">
        <w:t>portal</w:t>
      </w:r>
      <w:r w:rsidR="00BF5AA0">
        <w:t>,</w:t>
      </w:r>
      <w:r w:rsidR="0045026C">
        <w:t xml:space="preserve"> managing </w:t>
      </w:r>
      <w:r w:rsidR="00D24C37" w:rsidRPr="007740AC">
        <w:rPr>
          <w:u w:val="single"/>
        </w:rPr>
        <w:t xml:space="preserve">provider </w:t>
      </w:r>
      <w:r w:rsidR="001316FF">
        <w:rPr>
          <w:u w:val="single"/>
        </w:rPr>
        <w:t>enrollments</w:t>
      </w:r>
      <w:r w:rsidR="00671619">
        <w:t>.</w:t>
      </w:r>
    </w:p>
    <w:p w14:paraId="5459C9BC" w14:textId="77777777" w:rsidR="00AB7768" w:rsidRPr="00AB7768" w:rsidRDefault="001F47A0" w:rsidP="00AB7768">
      <w:pPr>
        <w:pStyle w:val="Heading1"/>
      </w:pPr>
      <w:r w:rsidRPr="00AB7768">
        <w:t>Primary actor(s)</w:t>
      </w:r>
    </w:p>
    <w:p w14:paraId="6DD9C24B" w14:textId="2CD6526C" w:rsidR="001F47A0" w:rsidRPr="00DB4FFA" w:rsidRDefault="00671619" w:rsidP="004C2705">
      <w:pPr>
        <w:pStyle w:val="ListParagraph"/>
        <w:numPr>
          <w:ilvl w:val="0"/>
          <w:numId w:val="28"/>
        </w:numPr>
        <w:spacing w:after="120"/>
        <w:rPr>
          <w:u w:val="double"/>
        </w:rPr>
      </w:pPr>
      <w:r w:rsidRPr="00DB4FFA">
        <w:rPr>
          <w:u w:val="double"/>
        </w:rPr>
        <w:t xml:space="preserve">Provider </w:t>
      </w:r>
      <w:r w:rsidR="00D24C37" w:rsidRPr="00DB4FFA">
        <w:rPr>
          <w:u w:val="double"/>
        </w:rPr>
        <w:t>e</w:t>
      </w:r>
      <w:r w:rsidRPr="00DB4FFA">
        <w:rPr>
          <w:u w:val="double"/>
        </w:rPr>
        <w:t>nroller</w:t>
      </w:r>
    </w:p>
    <w:p w14:paraId="6DD9C24E" w14:textId="1CFE10D3" w:rsidR="001F47A0" w:rsidRPr="00AB7768" w:rsidRDefault="001F47A0" w:rsidP="00AB7768">
      <w:pPr>
        <w:pStyle w:val="Heading1"/>
      </w:pPr>
      <w:r w:rsidRPr="00AB7768">
        <w:t>Main flow:</w:t>
      </w:r>
      <w:r w:rsidR="00671619" w:rsidRPr="00AB7768">
        <w:t xml:space="preserve"> Create </w:t>
      </w:r>
      <w:r w:rsidR="00F571A3" w:rsidRPr="00AB7768">
        <w:t xml:space="preserve">non-PCA </w:t>
      </w:r>
      <w:r w:rsidR="00D24C37">
        <w:t xml:space="preserve">provider </w:t>
      </w:r>
      <w:r w:rsidR="00D4686A">
        <w:t>profile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77777777" w:rsidR="005044DF" w:rsidRPr="004C2705" w:rsidRDefault="005044DF" w:rsidP="005044DF">
      <w:pPr>
        <w:pStyle w:val="ListParagraph"/>
        <w:numPr>
          <w:ilvl w:val="0"/>
          <w:numId w:val="29"/>
        </w:numPr>
      </w:pPr>
      <w:r>
        <w:t>None</w:t>
      </w:r>
    </w:p>
    <w:p w14:paraId="242E46AF" w14:textId="77777777" w:rsidR="00AB7768" w:rsidRPr="001F47A0" w:rsidRDefault="00AB7768" w:rsidP="00AB7768">
      <w:pPr>
        <w:pStyle w:val="Heading2"/>
        <w:rPr>
          <w:b w:val="0"/>
        </w:rPr>
      </w:pPr>
      <w:r>
        <w:t>Steps</w:t>
      </w:r>
    </w:p>
    <w:p w14:paraId="3C3F19BA" w14:textId="0FBD27EB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>Provider enroller</w:t>
      </w:r>
      <w:r>
        <w:t xml:space="preserve"> accesses MPSE via the public portal (as opposed to MN-ITS)</w:t>
      </w:r>
    </w:p>
    <w:p w14:paraId="4F673D3A" w14:textId="15BD3FA5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>
        <w:t>System displays a list of</w:t>
      </w:r>
      <w:r w:rsidR="004C2705">
        <w:t xml:space="preserve"> the </w:t>
      </w:r>
      <w:r w:rsidR="00D9503C">
        <w:rPr>
          <w:u w:val="double"/>
        </w:rPr>
        <w:t>current</w:t>
      </w:r>
      <w:r w:rsidR="004C2705" w:rsidRPr="004C2705">
        <w:rPr>
          <w:u w:val="double"/>
        </w:rPr>
        <w:t xml:space="preserve"> provider profile</w:t>
      </w:r>
      <w:r w:rsidR="004C2705">
        <w:t xml:space="preserve"> for each </w:t>
      </w:r>
      <w:r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>
        <w:t xml:space="preserve"> where the </w:t>
      </w:r>
      <w:r w:rsidRPr="00D24C37">
        <w:rPr>
          <w:u w:val="single"/>
        </w:rPr>
        <w:t>user</w:t>
      </w:r>
      <w:r w:rsidR="004C2705">
        <w:rPr>
          <w:u w:val="single"/>
        </w:rPr>
        <w:t xml:space="preserve"> list</w:t>
      </w:r>
      <w:r>
        <w:t xml:space="preserve"> </w:t>
      </w:r>
      <w:r w:rsidR="004C2705">
        <w:t xml:space="preserve">of the </w:t>
      </w:r>
      <w:r w:rsidR="004C2705"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 w:rsidR="004C2705">
        <w:t xml:space="preserve"> contains the </w:t>
      </w:r>
      <w:r w:rsidRPr="00D24C37">
        <w:rPr>
          <w:u w:val="double"/>
        </w:rPr>
        <w:t>provider enroller</w:t>
      </w:r>
      <w:r w:rsidR="00464092" w:rsidRPr="00464092">
        <w:t>- see use case rule 116</w:t>
      </w:r>
    </w:p>
    <w:p w14:paraId="6DD9C250" w14:textId="085A4C94" w:rsidR="00727575" w:rsidRDefault="00727575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 xml:space="preserve">Provider </w:t>
      </w:r>
      <w:r w:rsidR="00AB7768" w:rsidRPr="00D24C37">
        <w:rPr>
          <w:u w:val="double"/>
        </w:rPr>
        <w:t>e</w:t>
      </w:r>
      <w:r w:rsidRPr="00D24C37">
        <w:rPr>
          <w:u w:val="double"/>
        </w:rPr>
        <w:t>nroller</w:t>
      </w:r>
      <w:r>
        <w:t xml:space="preserve"> invokes option to create a new </w:t>
      </w:r>
      <w:r w:rsidR="00AB7768" w:rsidRPr="006D2968">
        <w:rPr>
          <w:u w:val="single"/>
        </w:rPr>
        <w:t xml:space="preserve">provider </w:t>
      </w:r>
      <w:r w:rsidR="001316FF" w:rsidRPr="006D2968">
        <w:rPr>
          <w:u w:val="single"/>
        </w:rPr>
        <w:t>profile</w:t>
      </w:r>
      <w:r w:rsidR="00497155" w:rsidRPr="00497155">
        <w:t xml:space="preserve"> </w:t>
      </w:r>
      <w:r w:rsidR="00D4686A">
        <w:t xml:space="preserve">for an </w:t>
      </w:r>
      <w:r w:rsidR="00D4686A" w:rsidRPr="00D4686A">
        <w:rPr>
          <w:u w:val="double"/>
        </w:rPr>
        <w:t>individual provider enrollment</w:t>
      </w:r>
      <w:r w:rsidR="00D4686A">
        <w:t xml:space="preserve"> or an </w:t>
      </w:r>
      <w:r w:rsidR="00D4686A" w:rsidRPr="00D4686A">
        <w:rPr>
          <w:u w:val="double"/>
        </w:rPr>
        <w:t>organization provider enrollment</w:t>
      </w:r>
      <w:r w:rsidR="00D4686A">
        <w:t xml:space="preserve"> (not a PCA)</w:t>
      </w:r>
    </w:p>
    <w:p w14:paraId="6DD9C251" w14:textId="77777777" w:rsidR="00671619" w:rsidRDefault="00671619" w:rsidP="00671619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7DBC25F" w14:textId="6C230C3E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>
        <w:t xml:space="preserve"> and adds the </w:t>
      </w:r>
      <w:r w:rsidRPr="004C2705">
        <w:rPr>
          <w:u w:val="double"/>
        </w:rPr>
        <w:t>provider enroller</w:t>
      </w:r>
      <w:r>
        <w:t xml:space="preserve"> to the </w:t>
      </w:r>
      <w:r w:rsidRPr="004C2705">
        <w:rPr>
          <w:u w:val="single"/>
        </w:rPr>
        <w:t>user list</w:t>
      </w:r>
    </w:p>
    <w:p w14:paraId="3B1884E2" w14:textId="6315F01B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>provider profile</w:t>
      </w:r>
    </w:p>
    <w:p w14:paraId="3890E388" w14:textId="4A8F98A4" w:rsidR="00D24C37" w:rsidRDefault="00D24C37" w:rsidP="00671619">
      <w:pPr>
        <w:pStyle w:val="ListParagraph"/>
        <w:numPr>
          <w:ilvl w:val="1"/>
          <w:numId w:val="5"/>
        </w:numPr>
        <w:spacing w:after="200"/>
      </w:pPr>
      <w:r>
        <w:t xml:space="preserve">Sets the </w:t>
      </w:r>
      <w:r w:rsidRPr="00F7653B">
        <w:rPr>
          <w:u w:val="single"/>
        </w:rPr>
        <w:t xml:space="preserve">version </w:t>
      </w:r>
      <w:r w:rsidR="00F7653B" w:rsidRPr="00F7653B">
        <w:rPr>
          <w:u w:val="single"/>
        </w:rPr>
        <w:t>number</w:t>
      </w:r>
      <w:r w:rsidR="00F7653B">
        <w:t xml:space="preserve"> </w:t>
      </w:r>
      <w:r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>
        <w:t>"</w:t>
      </w:r>
      <w:r>
        <w:t>1</w:t>
      </w:r>
      <w:r w:rsidR="004C2705">
        <w:t>"</w:t>
      </w:r>
    </w:p>
    <w:p w14:paraId="6DD9C253" w14:textId="7CFCDAF9" w:rsidR="00671619" w:rsidRDefault="00671619" w:rsidP="00671619">
      <w:pPr>
        <w:pStyle w:val="ListParagraph"/>
        <w:numPr>
          <w:ilvl w:val="1"/>
          <w:numId w:val="5"/>
        </w:numPr>
        <w:spacing w:after="200"/>
      </w:pPr>
      <w:r>
        <w:t>Set</w:t>
      </w:r>
      <w:r w:rsidR="00D24C37">
        <w:t>s</w:t>
      </w:r>
      <w:r>
        <w:t xml:space="preserve"> the </w:t>
      </w:r>
      <w:r w:rsidRPr="00F7653B">
        <w:rPr>
          <w:u w:val="single"/>
        </w:rPr>
        <w:t>workflow</w:t>
      </w:r>
      <w:r w:rsidR="00D24C37" w:rsidRPr="00F7653B">
        <w:rPr>
          <w:u w:val="single"/>
        </w:rPr>
        <w:t xml:space="preserve"> s</w:t>
      </w:r>
      <w:r w:rsidRPr="00F7653B">
        <w:rPr>
          <w:u w:val="single"/>
        </w:rPr>
        <w:t>tat</w:t>
      </w:r>
      <w:r w:rsidR="001316FF">
        <w:rPr>
          <w:u w:val="single"/>
        </w:rPr>
        <w:t>us</w:t>
      </w:r>
      <w:r>
        <w:t xml:space="preserve"> </w:t>
      </w:r>
      <w:r w:rsidR="00D24C37"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 w:rsidRPr="004C2705">
        <w:t>"D</w:t>
      </w:r>
      <w:r w:rsidR="007019E7" w:rsidRPr="004C2705">
        <w:t>raft</w:t>
      </w:r>
      <w:r w:rsidR="004C2705" w:rsidRPr="004C2705">
        <w:t>"</w:t>
      </w:r>
    </w:p>
    <w:p w14:paraId="05868101" w14:textId="5A0C5229" w:rsidR="00F6247A" w:rsidRDefault="00F6247A" w:rsidP="00671619">
      <w:pPr>
        <w:pStyle w:val="ListParagraph"/>
        <w:numPr>
          <w:ilvl w:val="1"/>
          <w:numId w:val="5"/>
        </w:numPr>
        <w:spacing w:after="200"/>
      </w:pPr>
      <w:r>
        <w:t xml:space="preserve">Sets the </w:t>
      </w:r>
      <w:r w:rsidRPr="00F6247A">
        <w:rPr>
          <w:u w:val="single"/>
        </w:rPr>
        <w:t>create date/time</w:t>
      </w:r>
      <w:r w:rsidRPr="00F6247A">
        <w:t xml:space="preserve"> to the current date/time</w:t>
      </w:r>
    </w:p>
    <w:p w14:paraId="3DC779F8" w14:textId="289F0141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Opens the </w:t>
      </w:r>
      <w:r w:rsidRPr="004C2705">
        <w:rPr>
          <w:u w:val="single"/>
        </w:rPr>
        <w:t>provider profile</w:t>
      </w:r>
      <w:r>
        <w:t xml:space="preserve"> in </w:t>
      </w:r>
      <w:r w:rsidRPr="00C378DD">
        <w:t>edit mode</w:t>
      </w:r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D004488" w14:textId="545CF541" w:rsidR="00F7653B" w:rsidRPr="00AB7768" w:rsidRDefault="00F7653B" w:rsidP="00F7653B">
      <w:pPr>
        <w:pStyle w:val="Heading2"/>
      </w:pPr>
      <w:r>
        <w:lastRenderedPageBreak/>
        <w:t xml:space="preserve">Alternate </w:t>
      </w:r>
      <w:r w:rsidRPr="00AB7768">
        <w:t xml:space="preserve">flow: Update </w:t>
      </w:r>
      <w:r w:rsidR="00C800BD">
        <w:t xml:space="preserve">current provider </w:t>
      </w:r>
      <w:r w:rsidR="00D4686A">
        <w:t>profile</w:t>
      </w:r>
    </w:p>
    <w:p w14:paraId="1E51EE46" w14:textId="11457C77" w:rsidR="00F7653B" w:rsidRDefault="00F7653B" w:rsidP="00F7653B">
      <w:pPr>
        <w:spacing w:after="120"/>
      </w:pPr>
      <w:r>
        <w:t>This flow begins after step 2 of the main flow.</w:t>
      </w:r>
    </w:p>
    <w:p w14:paraId="59F8A544" w14:textId="78275BDF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 w:rsidRPr="00F7653B">
        <w:rPr>
          <w:u w:val="double"/>
        </w:rPr>
        <w:t>Provider enroller</w:t>
      </w:r>
      <w:r>
        <w:t xml:space="preserve"> selects </w:t>
      </w:r>
      <w:r w:rsidR="008C3E7D">
        <w:t>a</w:t>
      </w:r>
      <w:r>
        <w:t xml:space="preserve"> </w:t>
      </w:r>
      <w:r w:rsidR="00C800BD" w:rsidRPr="00C800BD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 w:rsidR="00C800BD">
        <w:t xml:space="preserve"> </w:t>
      </w:r>
      <w:r w:rsidR="00C800BD" w:rsidRPr="00C800BD">
        <w:t xml:space="preserve">where the </w:t>
      </w:r>
      <w:r w:rsidR="00C800BD" w:rsidRPr="00C800BD">
        <w:rPr>
          <w:u w:val="single"/>
        </w:rPr>
        <w:t>workflow status</w:t>
      </w:r>
      <w:r w:rsidR="00C800BD" w:rsidRPr="00C800BD">
        <w:t xml:space="preserve"> is </w:t>
      </w:r>
      <w:r w:rsidR="00D9503C">
        <w:t>"D</w:t>
      </w:r>
      <w:r w:rsidR="00C800BD" w:rsidRPr="00C800BD">
        <w:t>raft</w:t>
      </w:r>
      <w:r w:rsidR="00D9503C">
        <w:t>"</w:t>
      </w:r>
      <w:r w:rsidR="00C800BD">
        <w:t xml:space="preserve"> and invokes option to update</w:t>
      </w:r>
    </w:p>
    <w:p w14:paraId="309932DB" w14:textId="404E9911" w:rsidR="006026F9" w:rsidRPr="00D9503C" w:rsidRDefault="00D9503C" w:rsidP="006026F9">
      <w:pPr>
        <w:pStyle w:val="ListParagraph"/>
        <w:numPr>
          <w:ilvl w:val="0"/>
          <w:numId w:val="12"/>
        </w:numPr>
        <w:spacing w:after="120"/>
      </w:pPr>
      <w:r w:rsidRPr="00D9503C">
        <w:t xml:space="preserve">System opens the </w:t>
      </w:r>
      <w:r w:rsidRPr="006026F9">
        <w:rPr>
          <w:u w:val="double"/>
        </w:rPr>
        <w:t>current provider profile</w:t>
      </w:r>
      <w:r w:rsidRPr="00D9503C">
        <w:t xml:space="preserve"> in </w:t>
      </w:r>
      <w:r w:rsidRPr="00C378DD">
        <w:t>edit mode</w:t>
      </w:r>
      <w:r w:rsidR="006026F9">
        <w:t xml:space="preserve"> and places the user at the </w:t>
      </w:r>
      <w:r w:rsidR="006026F9" w:rsidRPr="006026F9">
        <w:rPr>
          <w:u w:val="single"/>
        </w:rPr>
        <w:t>last location</w:t>
      </w:r>
      <w:r w:rsidR="0030503B">
        <w:rPr>
          <w:u w:val="single"/>
        </w:rPr>
        <w:t xml:space="preserve"> </w:t>
      </w:r>
      <w:r w:rsidR="0030503B" w:rsidRPr="0030503B">
        <w:t xml:space="preserve">within the </w:t>
      </w:r>
      <w:r w:rsidR="0030503B">
        <w:rPr>
          <w:u w:val="single"/>
        </w:rPr>
        <w:t>provider profile</w:t>
      </w:r>
      <w:r w:rsidR="0030503B" w:rsidRPr="0030503B">
        <w:t xml:space="preserve"> where data was saved</w:t>
      </w:r>
    </w:p>
    <w:p w14:paraId="06345673" w14:textId="77777777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>
        <w:t>Use case ends</w:t>
      </w:r>
    </w:p>
    <w:p w14:paraId="4E8AD021" w14:textId="75A30B6C" w:rsidR="00DB456D" w:rsidRDefault="00DB456D" w:rsidP="00DB456D">
      <w:pPr>
        <w:pStyle w:val="Heading2"/>
      </w:pPr>
      <w:r>
        <w:t xml:space="preserve">Exception flow: </w:t>
      </w:r>
      <w:r w:rsidR="003E2B78">
        <w:t xml:space="preserve">Provider </w:t>
      </w:r>
      <w:r w:rsidR="00D4686A">
        <w:t>profile</w:t>
      </w:r>
      <w:r w:rsidR="003E2B78">
        <w:t xml:space="preserve"> cannot be updated</w:t>
      </w:r>
    </w:p>
    <w:p w14:paraId="01CDC506" w14:textId="4A77F4AA" w:rsidR="00DB456D" w:rsidRPr="00DB456D" w:rsidRDefault="00DB456D" w:rsidP="00DB456D">
      <w:r>
        <w:t xml:space="preserve">When </w:t>
      </w:r>
      <w:r w:rsidR="00D9503C">
        <w:t>a</w:t>
      </w:r>
      <w:r w:rsidR="003E2B78">
        <w:t xml:space="preserve"> </w:t>
      </w:r>
      <w:r w:rsidR="003E2B78">
        <w:rPr>
          <w:u w:val="double"/>
        </w:rPr>
        <w:t>current</w:t>
      </w:r>
      <w:r w:rsidRPr="00DB456D">
        <w:rPr>
          <w:u w:val="double"/>
        </w:rPr>
        <w:t xml:space="preserve">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Pr="00DB456D">
        <w:rPr>
          <w:u w:val="single"/>
        </w:rPr>
        <w:t>workflow stat</w:t>
      </w:r>
      <w:r w:rsidR="006C714F">
        <w:rPr>
          <w:u w:val="single"/>
        </w:rPr>
        <w:t>us</w:t>
      </w:r>
      <w:r>
        <w:t xml:space="preserve"> of </w:t>
      </w:r>
      <w:r w:rsidR="00D9503C" w:rsidRPr="00D9503C">
        <w:t>"P</w:t>
      </w:r>
      <w:r w:rsidRPr="00D9503C">
        <w:t>ending</w:t>
      </w:r>
      <w:r w:rsidR="00D9503C" w:rsidRPr="00D9503C">
        <w:t>"</w:t>
      </w:r>
      <w:r w:rsidR="003E2B78" w:rsidRPr="00D9503C">
        <w:t xml:space="preserve">, </w:t>
      </w:r>
      <w:r w:rsidR="00D9503C" w:rsidRPr="00D9503C">
        <w:t>"</w:t>
      </w:r>
      <w:r w:rsidR="001316FF">
        <w:t xml:space="preserve">In </w:t>
      </w:r>
      <w:r w:rsidR="00D9503C" w:rsidRPr="00D9503C">
        <w:t>R</w:t>
      </w:r>
      <w:r w:rsidRPr="00D9503C">
        <w:t>eview</w:t>
      </w:r>
      <w:r w:rsidR="00D9503C" w:rsidRPr="00D9503C">
        <w:t>"</w:t>
      </w:r>
      <w:r w:rsidR="003E2B78" w:rsidRPr="00D9503C">
        <w:t xml:space="preserve">, or </w:t>
      </w:r>
      <w:r w:rsidR="00D9503C" w:rsidRPr="00D9503C">
        <w:t>"C</w:t>
      </w:r>
      <w:r w:rsidR="003E2B78" w:rsidRPr="00D9503C">
        <w:t>omplete</w:t>
      </w:r>
      <w:r w:rsidR="00D9503C" w:rsidRPr="00D9503C">
        <w:t>"</w:t>
      </w:r>
      <w:r w:rsidR="007019E7" w:rsidRPr="00D9503C">
        <w:t>,</w:t>
      </w:r>
      <w:r w:rsidR="007019E7">
        <w:t xml:space="preserve"> </w:t>
      </w:r>
      <w:r w:rsidR="003E2B78">
        <w:t>then th</w:t>
      </w:r>
      <w:r w:rsidR="00D9503C">
        <w:t>at</w:t>
      </w:r>
      <w:r w:rsidR="003E2B78">
        <w:t xml:space="preserve"> </w:t>
      </w:r>
      <w:r w:rsidR="003E2B78" w:rsidRPr="003E2B78">
        <w:rPr>
          <w:u w:val="single"/>
        </w:rPr>
        <w:t xml:space="preserve">provider </w:t>
      </w:r>
      <w:r w:rsidR="00D9503C">
        <w:rPr>
          <w:u w:val="single"/>
        </w:rPr>
        <w:t xml:space="preserve">profile </w:t>
      </w:r>
      <w:r w:rsidR="003E2B78">
        <w:t xml:space="preserve">cannot be updated by the </w:t>
      </w:r>
      <w:r w:rsidR="003E2B78" w:rsidRPr="003E2B78">
        <w:rPr>
          <w:u w:val="single"/>
        </w:rPr>
        <w:t>provider enroller</w:t>
      </w:r>
      <w:r>
        <w:t>.</w:t>
      </w:r>
    </w:p>
    <w:p w14:paraId="6DD9C266" w14:textId="38E8C67A" w:rsidR="00871D28" w:rsidRPr="00AB7768" w:rsidRDefault="003E2B78" w:rsidP="003E2B78">
      <w:pPr>
        <w:pStyle w:val="Heading2"/>
      </w:pPr>
      <w:bookmarkStart w:id="0" w:name="_Toc403131733"/>
      <w:r>
        <w:t>Alternate</w:t>
      </w:r>
      <w:r w:rsidR="00117A0C" w:rsidRPr="00AB7768">
        <w:t xml:space="preserve"> f</w:t>
      </w:r>
      <w:r w:rsidR="00871D28" w:rsidRPr="00AB7768">
        <w:t xml:space="preserve">low: Delete </w:t>
      </w:r>
      <w:r w:rsidR="007019E7">
        <w:t xml:space="preserve">provider </w:t>
      </w:r>
      <w:bookmarkEnd w:id="0"/>
      <w:r w:rsidR="00D4686A">
        <w:t>profile</w:t>
      </w:r>
    </w:p>
    <w:p w14:paraId="545EA4A1" w14:textId="50C8FFBD" w:rsidR="003E2B78" w:rsidRDefault="003E2B78" w:rsidP="00871D28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6DD9C267" w14:textId="715F97A5" w:rsidR="00871D28" w:rsidRDefault="00871D28" w:rsidP="00871D28">
      <w:pPr>
        <w:rPr>
          <w:szCs w:val="20"/>
        </w:rPr>
      </w:pPr>
    </w:p>
    <w:p w14:paraId="6DD9C26C" w14:textId="417BD5C5" w:rsidR="00871D28" w:rsidRPr="003E2B78" w:rsidRDefault="00871D28" w:rsidP="003E2B78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 w:rsidRPr="003E2B78">
        <w:rPr>
          <w:szCs w:val="20"/>
          <w:u w:val="double"/>
        </w:rPr>
        <w:t xml:space="preserve">Provider </w:t>
      </w:r>
      <w:r w:rsidR="003E2B78" w:rsidRPr="003E2B78">
        <w:rPr>
          <w:szCs w:val="20"/>
          <w:u w:val="double"/>
        </w:rPr>
        <w:t>e</w:t>
      </w:r>
      <w:r w:rsidRPr="003E2B78">
        <w:rPr>
          <w:szCs w:val="20"/>
          <w:u w:val="double"/>
        </w:rPr>
        <w:t>nroller</w:t>
      </w:r>
      <w:r>
        <w:rPr>
          <w:szCs w:val="20"/>
        </w:rPr>
        <w:t xml:space="preserve"> </w:t>
      </w:r>
      <w:r w:rsidR="003E2B78">
        <w:rPr>
          <w:szCs w:val="20"/>
        </w:rPr>
        <w:t xml:space="preserve">selects </w:t>
      </w:r>
      <w:r w:rsidR="00D9503C">
        <w:rPr>
          <w:szCs w:val="20"/>
        </w:rPr>
        <w:t>a</w:t>
      </w:r>
      <w:r w:rsidR="003E2B78">
        <w:rPr>
          <w:szCs w:val="20"/>
        </w:rPr>
        <w:t xml:space="preserve"> </w:t>
      </w:r>
      <w:r w:rsidR="003E2B78" w:rsidRPr="003E2B78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 w:rsidR="00D9503C">
        <w:rPr>
          <w:szCs w:val="20"/>
        </w:rPr>
        <w:t xml:space="preserve"> </w:t>
      </w:r>
      <w:r w:rsidR="003E2B78">
        <w:rPr>
          <w:szCs w:val="20"/>
        </w:rPr>
        <w:t xml:space="preserve">with a </w:t>
      </w:r>
      <w:r w:rsidR="003E2B78" w:rsidRPr="003E2B78">
        <w:rPr>
          <w:szCs w:val="20"/>
          <w:u w:val="single"/>
        </w:rPr>
        <w:t>workflow status</w:t>
      </w:r>
      <w:r w:rsidR="003E2B78">
        <w:rPr>
          <w:szCs w:val="20"/>
        </w:rPr>
        <w:t xml:space="preserve"> of </w:t>
      </w:r>
      <w:r w:rsidR="00D9503C">
        <w:rPr>
          <w:szCs w:val="20"/>
        </w:rPr>
        <w:t>"</w:t>
      </w:r>
      <w:r w:rsidR="00D9503C" w:rsidRPr="00D9503C">
        <w:rPr>
          <w:szCs w:val="20"/>
        </w:rPr>
        <w:t>D</w:t>
      </w:r>
      <w:r w:rsidR="003E2B78" w:rsidRPr="00D9503C">
        <w:rPr>
          <w:szCs w:val="20"/>
        </w:rPr>
        <w:t>raft</w:t>
      </w:r>
      <w:r w:rsidR="00D9503C" w:rsidRPr="00D9503C">
        <w:rPr>
          <w:szCs w:val="20"/>
        </w:rPr>
        <w:t>"</w:t>
      </w:r>
      <w:r w:rsidR="003E2B78">
        <w:rPr>
          <w:szCs w:val="20"/>
        </w:rPr>
        <w:t xml:space="preserve"> and invokes delete option</w:t>
      </w:r>
    </w:p>
    <w:p w14:paraId="27E2C998" w14:textId="260E9113" w:rsidR="003E2B78" w:rsidRPr="003E2B78" w:rsidRDefault="00871D2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 xml:space="preserve">System </w:t>
      </w:r>
      <w:r w:rsidR="003E2B78">
        <w:t>deletes the</w:t>
      </w:r>
      <w:r w:rsidR="00D9503C">
        <w:t xml:space="preserve"> </w:t>
      </w:r>
      <w:r w:rsidR="00D9503C" w:rsidRPr="00D9503C">
        <w:rPr>
          <w:u w:val="single"/>
        </w:rPr>
        <w:t>provider profile</w:t>
      </w:r>
      <w:r w:rsidR="00D9503C">
        <w:t xml:space="preserve"> and </w:t>
      </w:r>
      <w:r w:rsidR="001316FF">
        <w:rPr>
          <w:u w:val="single"/>
        </w:rPr>
        <w:t>provider enrollment</w:t>
      </w:r>
    </w:p>
    <w:p w14:paraId="6DD9C26F" w14:textId="62E30431" w:rsidR="00117A0C" w:rsidRPr="007019E7" w:rsidRDefault="003E2B7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>Continue with step 2 of the main flow</w:t>
      </w:r>
    </w:p>
    <w:p w14:paraId="0D93A335" w14:textId="53AE111D" w:rsidR="007019E7" w:rsidRDefault="007019E7" w:rsidP="007019E7">
      <w:pPr>
        <w:pStyle w:val="Heading2"/>
        <w:rPr>
          <w:szCs w:val="20"/>
        </w:rPr>
      </w:pPr>
      <w:r>
        <w:rPr>
          <w:szCs w:val="20"/>
        </w:rPr>
        <w:t xml:space="preserve">Exception flow: Cannot delete provider </w:t>
      </w:r>
      <w:r w:rsidR="00D4686A">
        <w:rPr>
          <w:szCs w:val="20"/>
        </w:rPr>
        <w:t>profile</w:t>
      </w:r>
    </w:p>
    <w:p w14:paraId="1645B020" w14:textId="687A5032" w:rsidR="007019E7" w:rsidRPr="007019E7" w:rsidRDefault="007019E7" w:rsidP="007019E7">
      <w:r>
        <w:t xml:space="preserve">When </w:t>
      </w:r>
      <w:r w:rsidR="00D9503C">
        <w:t xml:space="preserve">a </w:t>
      </w:r>
      <w:r w:rsidRPr="007019E7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="00D9503C" w:rsidRPr="00D9503C">
        <w:rPr>
          <w:u w:val="single"/>
        </w:rPr>
        <w:t>w</w:t>
      </w:r>
      <w:r w:rsidRPr="007019E7">
        <w:rPr>
          <w:u w:val="single"/>
        </w:rPr>
        <w:t>orkflow status</w:t>
      </w:r>
      <w:r>
        <w:t xml:space="preserve"> other than </w:t>
      </w:r>
      <w:r w:rsidR="00D9503C" w:rsidRPr="00D9503C">
        <w:t>"D</w:t>
      </w:r>
      <w:r w:rsidRPr="00D9503C">
        <w:t>raft</w:t>
      </w:r>
      <w:r w:rsidR="00D9503C" w:rsidRPr="00D9503C">
        <w:t>"</w:t>
      </w:r>
      <w:r>
        <w:t xml:space="preserve">, then the </w:t>
      </w:r>
      <w:r w:rsidRPr="007019E7">
        <w:rPr>
          <w:u w:val="double"/>
        </w:rPr>
        <w:t>provider enroller</w:t>
      </w:r>
      <w:r>
        <w:t xml:space="preserve"> cannot delete th</w:t>
      </w:r>
      <w:r w:rsidR="00D9503C">
        <w:t>at</w:t>
      </w:r>
      <w:r>
        <w:t xml:space="preserve"> </w:t>
      </w:r>
      <w:r w:rsidRPr="00D9503C">
        <w:rPr>
          <w:u w:val="single"/>
        </w:rPr>
        <w:t xml:space="preserve">provider </w:t>
      </w:r>
      <w:r w:rsidR="00D9503C" w:rsidRPr="00D9503C">
        <w:rPr>
          <w:u w:val="single"/>
        </w:rPr>
        <w:t>profile</w:t>
      </w:r>
      <w:r>
        <w:t>.</w:t>
      </w:r>
    </w:p>
    <w:p w14:paraId="066384DE" w14:textId="4D5F81C4" w:rsidR="008C3E7D" w:rsidRDefault="008C3E7D" w:rsidP="008C3E7D">
      <w:pPr>
        <w:pStyle w:val="Heading2"/>
        <w:rPr>
          <w:szCs w:val="20"/>
        </w:rPr>
      </w:pPr>
      <w:r>
        <w:rPr>
          <w:szCs w:val="20"/>
        </w:rPr>
        <w:t>Alternate flow: Revert status from pending to draft</w:t>
      </w:r>
    </w:p>
    <w:p w14:paraId="6149200D" w14:textId="402E28FF" w:rsidR="008C3E7D" w:rsidRDefault="008C3E7D" w:rsidP="008C3E7D">
      <w:pPr>
        <w:spacing w:after="200"/>
        <w:rPr>
          <w:szCs w:val="20"/>
        </w:rPr>
      </w:pPr>
      <w:r>
        <w:rPr>
          <w:szCs w:val="20"/>
        </w:rPr>
        <w:t>This flow begins after step 2 of the main flow.</w:t>
      </w:r>
    </w:p>
    <w:p w14:paraId="432D930B" w14:textId="2A7D8D86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 w:rsidRPr="008C3E7D">
        <w:rPr>
          <w:szCs w:val="20"/>
          <w:u w:val="single"/>
        </w:rPr>
        <w:t>Provider enroller</w:t>
      </w:r>
      <w:r>
        <w:rPr>
          <w:szCs w:val="20"/>
        </w:rPr>
        <w:t xml:space="preserve"> selects a </w:t>
      </w:r>
      <w:r w:rsidRPr="008C3E7D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>
        <w:rPr>
          <w:szCs w:val="20"/>
        </w:rPr>
        <w:t xml:space="preserve"> where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is </w:t>
      </w:r>
      <w:r w:rsidR="00D9503C">
        <w:rPr>
          <w:szCs w:val="20"/>
        </w:rPr>
        <w:t>"P</w:t>
      </w:r>
      <w:r w:rsidRPr="00D9503C">
        <w:rPr>
          <w:szCs w:val="20"/>
        </w:rPr>
        <w:t>ending</w:t>
      </w:r>
      <w:r w:rsidR="00D9503C" w:rsidRPr="00D9503C">
        <w:rPr>
          <w:szCs w:val="20"/>
        </w:rPr>
        <w:t>"</w:t>
      </w:r>
      <w:r w:rsidR="00D9503C">
        <w:rPr>
          <w:szCs w:val="20"/>
        </w:rPr>
        <w:t xml:space="preserve"> and invokes option to revert status</w:t>
      </w:r>
    </w:p>
    <w:p w14:paraId="2877C775" w14:textId="52CB074A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System sets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of th</w:t>
      </w:r>
      <w:r w:rsidR="00DB4FFA">
        <w:rPr>
          <w:szCs w:val="20"/>
        </w:rPr>
        <w:t>e</w:t>
      </w:r>
      <w:r w:rsidR="00D9503C">
        <w:rPr>
          <w:szCs w:val="20"/>
        </w:rPr>
        <w:t xml:space="preserve"> </w:t>
      </w:r>
      <w:r w:rsidRPr="00D9503C">
        <w:rPr>
          <w:szCs w:val="20"/>
          <w:u w:val="single"/>
        </w:rPr>
        <w:t xml:space="preserve">provider </w:t>
      </w:r>
      <w:r w:rsidR="00D9503C" w:rsidRPr="00D9503C">
        <w:rPr>
          <w:szCs w:val="20"/>
          <w:u w:val="single"/>
        </w:rPr>
        <w:t>profile</w:t>
      </w:r>
      <w:r>
        <w:rPr>
          <w:szCs w:val="20"/>
        </w:rPr>
        <w:t xml:space="preserve"> to </w:t>
      </w:r>
      <w:r w:rsidR="00D9503C">
        <w:rPr>
          <w:szCs w:val="20"/>
        </w:rPr>
        <w:t>"D</w:t>
      </w:r>
      <w:r>
        <w:rPr>
          <w:szCs w:val="20"/>
        </w:rPr>
        <w:t>raft</w:t>
      </w:r>
      <w:r w:rsidR="00D9503C">
        <w:rPr>
          <w:szCs w:val="20"/>
        </w:rPr>
        <w:t>"</w:t>
      </w:r>
    </w:p>
    <w:p w14:paraId="64021D62" w14:textId="23050D65" w:rsidR="008C3E7D" w:rsidRP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Continue with step 2 of the main flow </w:t>
      </w:r>
    </w:p>
    <w:p w14:paraId="0E2FB602" w14:textId="64E481B0" w:rsidR="008C3E7D" w:rsidRDefault="008C3E7D" w:rsidP="008C3E7D">
      <w:pPr>
        <w:pStyle w:val="Heading2"/>
      </w:pPr>
      <w:r>
        <w:t xml:space="preserve">Alternate flow: View current provider </w:t>
      </w:r>
      <w:r w:rsidR="00D4686A">
        <w:t>profile</w:t>
      </w:r>
      <w:r w:rsidR="0075133F">
        <w:t xml:space="preserve"> as read-only</w:t>
      </w:r>
    </w:p>
    <w:p w14:paraId="0256F170" w14:textId="1EBDA102" w:rsidR="008C3E7D" w:rsidRDefault="008C3E7D" w:rsidP="008C3E7D">
      <w:r>
        <w:t>This flow begins after step 2 of the main flow.</w:t>
      </w:r>
    </w:p>
    <w:p w14:paraId="2D51427C" w14:textId="77777777" w:rsidR="008C3E7D" w:rsidRDefault="008C3E7D" w:rsidP="008C3E7D"/>
    <w:p w14:paraId="6844C542" w14:textId="0511E85D" w:rsidR="0075133F" w:rsidRDefault="007019E7" w:rsidP="0075133F">
      <w:pPr>
        <w:pStyle w:val="ListParagraph"/>
        <w:numPr>
          <w:ilvl w:val="0"/>
          <w:numId w:val="27"/>
        </w:numPr>
      </w:pPr>
      <w:r w:rsidRPr="007019E7">
        <w:rPr>
          <w:u w:val="double"/>
        </w:rPr>
        <w:t>Provider enroller</w:t>
      </w:r>
      <w:r>
        <w:t xml:space="preserve"> </w:t>
      </w:r>
      <w:r w:rsidR="0075133F">
        <w:t xml:space="preserve">selects any of the </w:t>
      </w:r>
      <w:r w:rsidR="0075133F" w:rsidRPr="007019E7">
        <w:rPr>
          <w:u w:val="double"/>
        </w:rPr>
        <w:t xml:space="preserve">current provider </w:t>
      </w:r>
      <w:r w:rsidR="00637D41">
        <w:rPr>
          <w:u w:val="double"/>
        </w:rPr>
        <w:t>profiles</w:t>
      </w:r>
      <w:r w:rsidR="0075133F">
        <w:t xml:space="preserve"> in the list and invokes option to </w:t>
      </w:r>
      <w:r w:rsidR="00637D41">
        <w:t xml:space="preserve">display </w:t>
      </w:r>
      <w:r w:rsidR="0075133F">
        <w:t>as read-only</w:t>
      </w:r>
    </w:p>
    <w:p w14:paraId="5C791646" w14:textId="49073ABF" w:rsidR="008C3E7D" w:rsidRDefault="00F47513" w:rsidP="001856DD">
      <w:pPr>
        <w:pStyle w:val="ListParagraph"/>
        <w:numPr>
          <w:ilvl w:val="0"/>
          <w:numId w:val="27"/>
        </w:numPr>
      </w:pPr>
      <w:r>
        <w:t xml:space="preserve">Invoke </w:t>
      </w:r>
      <w:r w:rsidR="003F4FCB">
        <w:t xml:space="preserve">(include) </w:t>
      </w:r>
      <w:r w:rsidR="001856DD">
        <w:t>UC</w:t>
      </w:r>
      <w:r w:rsidR="002726BD">
        <w:t>033</w:t>
      </w:r>
      <w:r w:rsidR="001856DD">
        <w:t>_View_Provider_Profile</w:t>
      </w:r>
    </w:p>
    <w:p w14:paraId="295D438C" w14:textId="79F5221B" w:rsidR="00F47513" w:rsidRDefault="00F47513" w:rsidP="001856DD">
      <w:pPr>
        <w:pStyle w:val="ListParagraph"/>
        <w:numPr>
          <w:ilvl w:val="0"/>
          <w:numId w:val="27"/>
        </w:numPr>
      </w:pPr>
      <w:r>
        <w:t>Continue with step 2 of the main flow</w:t>
      </w:r>
    </w:p>
    <w:p w14:paraId="6E50C517" w14:textId="77777777" w:rsidR="0075133F" w:rsidRDefault="0075133F" w:rsidP="0075133F"/>
    <w:p w14:paraId="22D3E46A" w14:textId="495094D6" w:rsidR="003E2B78" w:rsidRDefault="0075133F" w:rsidP="0075133F">
      <w:r w:rsidRPr="00D87740">
        <w:t xml:space="preserve">Some </w:t>
      </w:r>
      <w:r w:rsidRPr="006C714F">
        <w:rPr>
          <w:u w:val="double"/>
        </w:rPr>
        <w:t xml:space="preserve">current provider </w:t>
      </w:r>
      <w:r w:rsidR="006C714F" w:rsidRPr="006C714F">
        <w:rPr>
          <w:u w:val="double"/>
        </w:rPr>
        <w:t>profiles</w:t>
      </w:r>
      <w:r w:rsidRPr="00D87740">
        <w:t xml:space="preserve"> </w:t>
      </w:r>
      <w:r>
        <w:t xml:space="preserve">can only be viewed as </w:t>
      </w:r>
      <w:r w:rsidRPr="00D87740">
        <w:t xml:space="preserve">read-only due to their </w:t>
      </w:r>
      <w:r w:rsidR="006C714F">
        <w:t xml:space="preserve">workflow </w:t>
      </w:r>
      <w:r w:rsidRPr="00D87740">
        <w:t>stat</w:t>
      </w:r>
      <w:r w:rsidR="006C714F">
        <w:t>us</w:t>
      </w:r>
      <w:r w:rsidRPr="00D87740">
        <w:t xml:space="preserve">.  Other </w:t>
      </w:r>
      <w:r w:rsidRPr="006C714F">
        <w:rPr>
          <w:u w:val="double"/>
        </w:rPr>
        <w:t xml:space="preserve">current provider </w:t>
      </w:r>
      <w:r w:rsidR="00D4686A">
        <w:rPr>
          <w:u w:val="double"/>
        </w:rPr>
        <w:t>profiles</w:t>
      </w:r>
      <w:r>
        <w:t xml:space="preserve"> can be </w:t>
      </w:r>
      <w:r w:rsidRPr="00D87740">
        <w:t>edited but the user chooses to view as read-only so that they do not make unintended changes.</w:t>
      </w:r>
    </w:p>
    <w:p w14:paraId="6DD9C274" w14:textId="5C4A33A1" w:rsidR="001F47A0" w:rsidRDefault="00D24C37" w:rsidP="00D24C37">
      <w:pPr>
        <w:pStyle w:val="Heading1"/>
        <w:rPr>
          <w:b w:val="0"/>
        </w:rPr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440"/>
        <w:gridCol w:w="1440"/>
        <w:gridCol w:w="568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A749998" w:rsidR="00BF6324" w:rsidRPr="002A1760" w:rsidRDefault="002A1760" w:rsidP="001F47A0">
            <w:pPr>
              <w:spacing w:after="120"/>
            </w:pPr>
            <w:r w:rsidRPr="002A1760">
              <w:t>1</w:t>
            </w: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66355C0B" w:rsidR="00BF6324" w:rsidRPr="002A1760" w:rsidRDefault="002A1760" w:rsidP="001F47A0">
            <w:pPr>
              <w:spacing w:after="120"/>
            </w:pPr>
            <w:r>
              <w:t>Initial draft</w:t>
            </w: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0717930F" w:rsidR="002A1760" w:rsidRPr="002A1760" w:rsidRDefault="002A1760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3FA193D5" w14:textId="2E714E63" w:rsidR="002A1760" w:rsidRPr="002A1760" w:rsidRDefault="002A1760" w:rsidP="001F47A0">
            <w:pPr>
              <w:spacing w:after="120"/>
            </w:pPr>
            <w:r>
              <w:t>2/6/2015</w:t>
            </w:r>
          </w:p>
        </w:tc>
        <w:tc>
          <w:tcPr>
            <w:tcW w:w="1440" w:type="dxa"/>
          </w:tcPr>
          <w:p w14:paraId="34B135F6" w14:textId="4BD8FEAF" w:rsidR="002A1760" w:rsidRPr="002A1760" w:rsidRDefault="002A1760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0D6FE135" w14:textId="5EAF6DCB" w:rsidR="002A1760" w:rsidRDefault="002A1760" w:rsidP="001F47A0">
            <w:pPr>
              <w:spacing w:after="120"/>
            </w:pPr>
            <w:r>
              <w:t>Revised for BOM refactoring</w:t>
            </w:r>
          </w:p>
        </w:tc>
      </w:tr>
      <w:tr w:rsidR="006026F9" w:rsidRPr="002A1760" w14:paraId="7669CCC8" w14:textId="77777777" w:rsidTr="001316FF">
        <w:trPr>
          <w:cantSplit/>
        </w:trPr>
        <w:tc>
          <w:tcPr>
            <w:tcW w:w="1008" w:type="dxa"/>
          </w:tcPr>
          <w:p w14:paraId="666B9994" w14:textId="53E20CEA" w:rsidR="006026F9" w:rsidRDefault="006026F9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48EFA645" w14:textId="22165B61" w:rsidR="006026F9" w:rsidRDefault="006026F9" w:rsidP="001F47A0">
            <w:pPr>
              <w:spacing w:after="120"/>
            </w:pPr>
            <w:r>
              <w:t>3/2/2015</w:t>
            </w:r>
          </w:p>
        </w:tc>
        <w:tc>
          <w:tcPr>
            <w:tcW w:w="1440" w:type="dxa"/>
          </w:tcPr>
          <w:p w14:paraId="2CCA874D" w14:textId="4EBC6111" w:rsidR="006026F9" w:rsidRDefault="006026F9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70B54D77" w14:textId="108921DB" w:rsidR="006026F9" w:rsidRDefault="006026F9" w:rsidP="00541181">
            <w:pPr>
              <w:spacing w:after="120"/>
            </w:pPr>
            <w:r>
              <w:t>Added</w:t>
            </w:r>
            <w:r w:rsidR="00541181">
              <w:t xml:space="preserve"> to update flow that system will place the user at the last place they were editing</w:t>
            </w:r>
          </w:p>
        </w:tc>
      </w:tr>
      <w:tr w:rsidR="00464092" w:rsidRPr="002A1760" w14:paraId="5B8B1A0E" w14:textId="77777777" w:rsidTr="001316FF">
        <w:trPr>
          <w:cantSplit/>
        </w:trPr>
        <w:tc>
          <w:tcPr>
            <w:tcW w:w="1008" w:type="dxa"/>
          </w:tcPr>
          <w:p w14:paraId="294FA7B8" w14:textId="02736288" w:rsidR="00464092" w:rsidRDefault="00464092" w:rsidP="001F47A0">
            <w:pPr>
              <w:spacing w:after="120"/>
            </w:pPr>
            <w:r>
              <w:t>4</w:t>
            </w:r>
          </w:p>
        </w:tc>
        <w:tc>
          <w:tcPr>
            <w:tcW w:w="1440" w:type="dxa"/>
          </w:tcPr>
          <w:p w14:paraId="6FE20BEB" w14:textId="1F97ADE9" w:rsidR="00464092" w:rsidRDefault="00464092" w:rsidP="001F47A0">
            <w:pPr>
              <w:spacing w:after="120"/>
            </w:pPr>
            <w:r>
              <w:t>3/12/2015</w:t>
            </w:r>
          </w:p>
        </w:tc>
        <w:tc>
          <w:tcPr>
            <w:tcW w:w="1440" w:type="dxa"/>
          </w:tcPr>
          <w:p w14:paraId="4DF01A8D" w14:textId="18F78776" w:rsidR="00464092" w:rsidRDefault="00464092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0F376785" w14:textId="3A1C56F3" w:rsidR="00464092" w:rsidRDefault="00464092" w:rsidP="00B31097">
            <w:pPr>
              <w:spacing w:after="120"/>
            </w:pPr>
            <w:r>
              <w:t>Added issue related to denied provider profiles</w:t>
            </w:r>
            <w:r w:rsidR="00485919">
              <w:t xml:space="preserve"> and rule 116</w:t>
            </w:r>
          </w:p>
        </w:tc>
      </w:tr>
      <w:tr w:rsidR="001316FF" w:rsidRPr="002A1760" w14:paraId="2DA2ADD0" w14:textId="77777777" w:rsidTr="001316FF">
        <w:trPr>
          <w:cantSplit/>
        </w:trPr>
        <w:tc>
          <w:tcPr>
            <w:tcW w:w="1008" w:type="dxa"/>
          </w:tcPr>
          <w:p w14:paraId="70AFCCEA" w14:textId="54F2E046" w:rsidR="001316FF" w:rsidRDefault="001316FF" w:rsidP="001F47A0">
            <w:pPr>
              <w:spacing w:after="120"/>
            </w:pPr>
            <w:r>
              <w:t>5</w:t>
            </w:r>
          </w:p>
        </w:tc>
        <w:tc>
          <w:tcPr>
            <w:tcW w:w="1440" w:type="dxa"/>
          </w:tcPr>
          <w:p w14:paraId="2355299E" w14:textId="0492C3DC" w:rsidR="001316FF" w:rsidRDefault="001316FF" w:rsidP="001F47A0">
            <w:pPr>
              <w:spacing w:after="120"/>
            </w:pPr>
            <w:r>
              <w:t>4/13/2015</w:t>
            </w:r>
          </w:p>
        </w:tc>
        <w:tc>
          <w:tcPr>
            <w:tcW w:w="1440" w:type="dxa"/>
          </w:tcPr>
          <w:p w14:paraId="152A4893" w14:textId="0D708E04" w:rsidR="001316FF" w:rsidRDefault="001316FF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7BDB3203" w14:textId="77777777" w:rsidR="001316FF" w:rsidRDefault="001316FF" w:rsidP="001316FF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Clarify terminology for "provider enrollment"</w:t>
            </w:r>
          </w:p>
          <w:p w14:paraId="23ED3B02" w14:textId="77777777" w:rsidR="0042499D" w:rsidRDefault="0042499D" w:rsidP="0042499D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Change "workflow state" to "workflow status"</w:t>
            </w:r>
          </w:p>
          <w:p w14:paraId="4C31391A" w14:textId="77777777" w:rsidR="001316FF" w:rsidRDefault="001316FF" w:rsidP="001316FF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Change "Review" to "In Review"</w:t>
            </w:r>
          </w:p>
          <w:p w14:paraId="122EEF65" w14:textId="7C4B9988" w:rsidR="001316FF" w:rsidRDefault="001316FF" w:rsidP="0042499D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 xml:space="preserve">Refactor view </w:t>
            </w:r>
            <w:r w:rsidR="0042499D">
              <w:t xml:space="preserve">flow to </w:t>
            </w:r>
            <w:r>
              <w:t>reference UC111</w:t>
            </w:r>
          </w:p>
        </w:tc>
      </w:tr>
      <w:tr w:rsidR="00D4686A" w:rsidRPr="002A1760" w14:paraId="27C34B40" w14:textId="77777777" w:rsidTr="001316FF">
        <w:trPr>
          <w:cantSplit/>
        </w:trPr>
        <w:tc>
          <w:tcPr>
            <w:tcW w:w="1008" w:type="dxa"/>
          </w:tcPr>
          <w:p w14:paraId="4A8832B9" w14:textId="0A2AAAD9" w:rsidR="00D4686A" w:rsidRDefault="00D4686A" w:rsidP="001F47A0">
            <w:pPr>
              <w:spacing w:after="120"/>
            </w:pPr>
            <w:r>
              <w:t>6</w:t>
            </w:r>
          </w:p>
        </w:tc>
        <w:tc>
          <w:tcPr>
            <w:tcW w:w="1440" w:type="dxa"/>
          </w:tcPr>
          <w:p w14:paraId="660EC849" w14:textId="21E8FD15" w:rsidR="00D4686A" w:rsidRDefault="00D4686A" w:rsidP="001F47A0">
            <w:pPr>
              <w:spacing w:after="120"/>
            </w:pPr>
            <w:r>
              <w:t>4/17/2015</w:t>
            </w:r>
          </w:p>
        </w:tc>
        <w:tc>
          <w:tcPr>
            <w:tcW w:w="1440" w:type="dxa"/>
          </w:tcPr>
          <w:p w14:paraId="602673A1" w14:textId="0241D597" w:rsidR="00D4686A" w:rsidRDefault="00D4686A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3E2EE2E5" w14:textId="02F79F3A" w:rsidR="00D4686A" w:rsidRDefault="00D4686A" w:rsidP="00D4686A">
            <w:pPr>
              <w:spacing w:after="120"/>
            </w:pPr>
            <w:r>
              <w:t>Change application to provider profile</w:t>
            </w:r>
          </w:p>
        </w:tc>
      </w:tr>
      <w:tr w:rsidR="00F6247A" w:rsidRPr="002A1760" w14:paraId="3BC5BEFA" w14:textId="77777777" w:rsidTr="001316FF">
        <w:trPr>
          <w:cantSplit/>
        </w:trPr>
        <w:tc>
          <w:tcPr>
            <w:tcW w:w="1008" w:type="dxa"/>
          </w:tcPr>
          <w:p w14:paraId="5653CC34" w14:textId="2C3C528A" w:rsidR="00F6247A" w:rsidRDefault="00F6247A" w:rsidP="001F47A0">
            <w:pPr>
              <w:spacing w:after="120"/>
            </w:pPr>
            <w:r>
              <w:t>7</w:t>
            </w:r>
          </w:p>
        </w:tc>
        <w:tc>
          <w:tcPr>
            <w:tcW w:w="1440" w:type="dxa"/>
          </w:tcPr>
          <w:p w14:paraId="67CDC97F" w14:textId="21374A2E" w:rsidR="00F6247A" w:rsidRDefault="00F6247A" w:rsidP="001F47A0">
            <w:pPr>
              <w:spacing w:after="120"/>
            </w:pPr>
            <w:r>
              <w:t>6/29/2015</w:t>
            </w:r>
          </w:p>
        </w:tc>
        <w:tc>
          <w:tcPr>
            <w:tcW w:w="1440" w:type="dxa"/>
          </w:tcPr>
          <w:p w14:paraId="5CB7E879" w14:textId="61259C94" w:rsidR="00F6247A" w:rsidRDefault="00F6247A" w:rsidP="001F47A0">
            <w:pPr>
              <w:spacing w:after="120"/>
            </w:pPr>
            <w:r>
              <w:t>David Marsh</w:t>
            </w:r>
          </w:p>
        </w:tc>
        <w:tc>
          <w:tcPr>
            <w:tcW w:w="5688" w:type="dxa"/>
          </w:tcPr>
          <w:p w14:paraId="165E53E9" w14:textId="05B225D9" w:rsidR="00F6247A" w:rsidRDefault="00F6247A" w:rsidP="00F6247A">
            <w:pPr>
              <w:spacing w:after="120"/>
            </w:pPr>
            <w:r>
              <w:t>Added line to create flow to set the create date/time.  The create date/time is needed for UC137 PCA personnel list to determine if the PCA personnel list has been “refreshed”.</w:t>
            </w:r>
          </w:p>
        </w:tc>
      </w:tr>
      <w:tr w:rsidR="002726BD" w:rsidRPr="002A1760" w14:paraId="7EFDDB17" w14:textId="77777777" w:rsidTr="001316FF">
        <w:trPr>
          <w:cantSplit/>
        </w:trPr>
        <w:tc>
          <w:tcPr>
            <w:tcW w:w="1008" w:type="dxa"/>
          </w:tcPr>
          <w:p w14:paraId="2202AC87" w14:textId="6BCAF1E5" w:rsidR="002726BD" w:rsidRDefault="002726BD" w:rsidP="001F47A0">
            <w:pPr>
              <w:spacing w:after="120"/>
            </w:pPr>
            <w:r>
              <w:t>8</w:t>
            </w:r>
          </w:p>
        </w:tc>
        <w:tc>
          <w:tcPr>
            <w:tcW w:w="1440" w:type="dxa"/>
          </w:tcPr>
          <w:p w14:paraId="5BA17D53" w14:textId="63AED7CC" w:rsidR="002726BD" w:rsidRDefault="002726BD" w:rsidP="001F47A0">
            <w:pPr>
              <w:spacing w:after="120"/>
            </w:pPr>
            <w:r>
              <w:t>8/17/2015</w:t>
            </w:r>
          </w:p>
        </w:tc>
        <w:tc>
          <w:tcPr>
            <w:tcW w:w="1440" w:type="dxa"/>
          </w:tcPr>
          <w:p w14:paraId="5D51C187" w14:textId="4599A5D2" w:rsidR="002726BD" w:rsidRDefault="002726BD" w:rsidP="001F47A0">
            <w:pPr>
              <w:spacing w:after="120"/>
            </w:pPr>
            <w:r>
              <w:t>David Marsh</w:t>
            </w:r>
          </w:p>
        </w:tc>
        <w:tc>
          <w:tcPr>
            <w:tcW w:w="5688" w:type="dxa"/>
          </w:tcPr>
          <w:p w14:paraId="247A32DC" w14:textId="327B34AB" w:rsidR="002726BD" w:rsidRDefault="002726BD" w:rsidP="00F6247A">
            <w:pPr>
              <w:spacing w:after="120"/>
            </w:pPr>
            <w:bookmarkStart w:id="1" w:name="_GoBack"/>
            <w:r>
              <w:t>Correct reference to view provider profile use case.  Changed from UC111 to UC033.</w:t>
            </w:r>
            <w:bookmarkEnd w:id="1"/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726BD">
      <w:rPr>
        <w:noProof/>
      </w:rPr>
      <w:t>3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726BD">
      <w:rPr>
        <w:noProof/>
      </w:rPr>
      <w:t>6/29/2015 3:12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E5A26" w14:textId="77777777" w:rsidR="000210EA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313240">
      <w:rPr>
        <w:b/>
      </w:rPr>
      <w:tab/>
    </w:r>
    <w:r w:rsidR="00313240">
      <w:rPr>
        <w:b/>
      </w:rPr>
      <w:tab/>
    </w:r>
  </w:p>
  <w:p w14:paraId="6DD9C286" w14:textId="65E564FB" w:rsidR="001F47A0" w:rsidRPr="00313240" w:rsidRDefault="001F47A0" w:rsidP="00313240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D4686A">
      <w:rPr>
        <w:b/>
        <w:noProof/>
      </w:rPr>
      <w:t>UC006_PE_Manage_Provider_Profiles_Via_Portal_Login.docx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11A4"/>
    <w:rsid w:val="000210EA"/>
    <w:rsid w:val="000A0279"/>
    <w:rsid w:val="000D6C17"/>
    <w:rsid w:val="00117A0C"/>
    <w:rsid w:val="001316FF"/>
    <w:rsid w:val="00157719"/>
    <w:rsid w:val="00160679"/>
    <w:rsid w:val="00183C34"/>
    <w:rsid w:val="001856DD"/>
    <w:rsid w:val="001D05B8"/>
    <w:rsid w:val="001F47A0"/>
    <w:rsid w:val="002726BD"/>
    <w:rsid w:val="002A1760"/>
    <w:rsid w:val="002C7914"/>
    <w:rsid w:val="0030503B"/>
    <w:rsid w:val="00313240"/>
    <w:rsid w:val="00330A8B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5044D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8fb07803-c468-4910-8515-b6c9a57278a1"/>
    <ds:schemaRef ds:uri="http://schemas.microsoft.com/office/infopath/2007/PartnerControls"/>
    <ds:schemaRef ds:uri="a2741f7e-cf52-4b71-b717-1a57b450104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2F94C91-EDF3-4D91-8186-1A6654A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6</cp:revision>
  <cp:lastPrinted>2015-04-13T15:01:00Z</cp:lastPrinted>
  <dcterms:created xsi:type="dcterms:W3CDTF">2015-04-13T15:01:00Z</dcterms:created>
  <dcterms:modified xsi:type="dcterms:W3CDTF">2015-08-17T13:27:00Z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