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C341F" w14:textId="77777777" w:rsidR="00FE2D12" w:rsidRPr="00FD5E24" w:rsidRDefault="00FE2D12" w:rsidP="00FE2D12">
      <w:pPr>
        <w:pStyle w:val="Heading1"/>
        <w:rPr>
          <w:b w:val="0"/>
        </w:rPr>
      </w:pPr>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00CD7246"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02F843A3" w14:textId="77777777" w:rsidR="00FE2D12" w:rsidRPr="00BA2F60" w:rsidRDefault="00FE2D12" w:rsidP="002545C2">
            <w:r w:rsidRPr="00BA2F60">
              <w:t>#</w:t>
            </w:r>
          </w:p>
        </w:tc>
        <w:tc>
          <w:tcPr>
            <w:tcW w:w="6484" w:type="dxa"/>
          </w:tcPr>
          <w:p w14:paraId="09476470" w14:textId="77777777" w:rsidR="00FE2D12" w:rsidRPr="00BA2F60" w:rsidRDefault="00FE2D12" w:rsidP="002545C2">
            <w:r w:rsidRPr="00BA2F60">
              <w:t>Description</w:t>
            </w:r>
          </w:p>
        </w:tc>
        <w:tc>
          <w:tcPr>
            <w:tcW w:w="1349" w:type="dxa"/>
          </w:tcPr>
          <w:p w14:paraId="12E4D437" w14:textId="77777777" w:rsidR="00FE2D12" w:rsidRPr="00BA2F60" w:rsidRDefault="00FE2D12" w:rsidP="002545C2">
            <w:r w:rsidRPr="00BA2F60">
              <w:t>Assigned To</w:t>
            </w:r>
          </w:p>
        </w:tc>
        <w:tc>
          <w:tcPr>
            <w:tcW w:w="1367" w:type="dxa"/>
          </w:tcPr>
          <w:p w14:paraId="6FADFCF0" w14:textId="77777777" w:rsidR="00FE2D12" w:rsidRPr="00BA2F60" w:rsidRDefault="00FE2D12" w:rsidP="002545C2">
            <w:r w:rsidRPr="00BA2F60">
              <w:t>Status</w:t>
            </w:r>
          </w:p>
        </w:tc>
      </w:tr>
      <w:tr w:rsidR="00FE2D12" w:rsidRPr="00BA2F60" w14:paraId="0CD3DCCA" w14:textId="77777777" w:rsidTr="002545C2">
        <w:tc>
          <w:tcPr>
            <w:tcW w:w="376" w:type="dxa"/>
          </w:tcPr>
          <w:p w14:paraId="64A592A9" w14:textId="179E10F4" w:rsidR="00FE2D12" w:rsidRDefault="008A1790" w:rsidP="002545C2">
            <w:pPr>
              <w:rPr>
                <w:i/>
              </w:rPr>
            </w:pPr>
            <w:r>
              <w:rPr>
                <w:i/>
              </w:rPr>
              <w:t>1</w:t>
            </w:r>
          </w:p>
        </w:tc>
        <w:tc>
          <w:tcPr>
            <w:tcW w:w="6484" w:type="dxa"/>
          </w:tcPr>
          <w:p w14:paraId="5AE2A989" w14:textId="77777777" w:rsidR="00FE2D12" w:rsidRDefault="004514B8" w:rsidP="008A1790">
            <w:r>
              <w:t>Residence addresses for PCA require a county because they map to address 1 in MMIS.  The residence address for supervising professional does not go to MMIS so a county is not needed.</w:t>
            </w:r>
          </w:p>
          <w:p w14:paraId="3779BCE9" w14:textId="77777777" w:rsidR="004514B8" w:rsidRDefault="004514B8" w:rsidP="008A1790"/>
          <w:p w14:paraId="3EF8562E" w14:textId="5450FF66" w:rsidR="004514B8" w:rsidRDefault="004514B8" w:rsidP="008A1790">
            <w:r>
              <w:t>To be consistent and avoid having two types of residence addresses, the county will be required for all residence addresses.</w:t>
            </w:r>
          </w:p>
        </w:tc>
        <w:tc>
          <w:tcPr>
            <w:tcW w:w="1349" w:type="dxa"/>
          </w:tcPr>
          <w:p w14:paraId="580F0085" w14:textId="77777777" w:rsidR="00FE2D12" w:rsidRDefault="00FE2D12" w:rsidP="002545C2"/>
        </w:tc>
        <w:tc>
          <w:tcPr>
            <w:tcW w:w="1367" w:type="dxa"/>
          </w:tcPr>
          <w:p w14:paraId="5293D80A" w14:textId="4262D435" w:rsidR="00FE2D12" w:rsidRDefault="004514B8" w:rsidP="002545C2">
            <w:r>
              <w:t>Closed</w:t>
            </w:r>
          </w:p>
        </w:tc>
      </w:tr>
      <w:tr w:rsidR="004514B8" w:rsidRPr="00BA2F60" w14:paraId="686D7C4B" w14:textId="77777777" w:rsidTr="002545C2">
        <w:tc>
          <w:tcPr>
            <w:tcW w:w="376" w:type="dxa"/>
          </w:tcPr>
          <w:p w14:paraId="07134124" w14:textId="4B463CEF" w:rsidR="004514B8" w:rsidRDefault="004514B8" w:rsidP="002545C2">
            <w:pPr>
              <w:rPr>
                <w:i/>
              </w:rPr>
            </w:pPr>
            <w:r>
              <w:rPr>
                <w:i/>
              </w:rPr>
              <w:t>2</w:t>
            </w:r>
          </w:p>
        </w:tc>
        <w:tc>
          <w:tcPr>
            <w:tcW w:w="6484" w:type="dxa"/>
          </w:tcPr>
          <w:p w14:paraId="375C43F2" w14:textId="12B4EE29" w:rsidR="00723C81" w:rsidRDefault="00723C81" w:rsidP="00723C81">
            <w:r>
              <w:t>An individual's primary practice address is the facility location physical address of an affiliated provider.  Ideally address line 1 and 2 of the affiliated provider's facility location physical address would be placed in address line 2 of the individual's MMIS record.  Address line 1 of the individual's MMIS record would then contain the practice name.</w:t>
            </w:r>
          </w:p>
          <w:p w14:paraId="69A75D13" w14:textId="77777777" w:rsidR="00723C81" w:rsidRDefault="00723C81" w:rsidP="00723C81"/>
          <w:p w14:paraId="272AE658" w14:textId="445B0D39" w:rsidR="00723C81" w:rsidRDefault="00723C81" w:rsidP="00723C81">
            <w:r>
              <w:t>Should the combined length of address line 1 and address line 2 be limited to 28 characters in MPSE so that they can be placed in MMIS address line 2 and then MMIS address line 1 can be the practice name?</w:t>
            </w:r>
          </w:p>
          <w:p w14:paraId="33D38B2F" w14:textId="77777777" w:rsidR="00723C81" w:rsidRDefault="00723C81" w:rsidP="00433569"/>
          <w:p w14:paraId="08B6C91D" w14:textId="25158FA4" w:rsidR="004514B8" w:rsidRDefault="00723C81" w:rsidP="00723C81">
            <w:r>
              <w:t>The decision is to allow address line 1 and 2 to each be up to 28 characters in MPSE.  The logic for integrating with MMIS will combine MPSE address lines 1 and 2 if they are less than 29 characters and place the practice name in line 1.  If they are greater than 28 characters, the practice name will not be placed in MMIS address line 1.</w:t>
            </w:r>
          </w:p>
        </w:tc>
        <w:tc>
          <w:tcPr>
            <w:tcW w:w="1349" w:type="dxa"/>
          </w:tcPr>
          <w:p w14:paraId="674E1880" w14:textId="77777777" w:rsidR="004514B8" w:rsidRDefault="004514B8" w:rsidP="002545C2"/>
        </w:tc>
        <w:tc>
          <w:tcPr>
            <w:tcW w:w="1367" w:type="dxa"/>
          </w:tcPr>
          <w:p w14:paraId="3A0EE4D4" w14:textId="47345CD2" w:rsidR="004514B8" w:rsidRDefault="00723C81" w:rsidP="002545C2">
            <w:r>
              <w:t>Closed</w:t>
            </w:r>
          </w:p>
        </w:tc>
      </w:tr>
      <w:tr w:rsidR="00F80F70" w:rsidRPr="00BA2F60" w14:paraId="205E47AD" w14:textId="77777777" w:rsidTr="002545C2">
        <w:tc>
          <w:tcPr>
            <w:tcW w:w="376" w:type="dxa"/>
          </w:tcPr>
          <w:p w14:paraId="57CF07CC" w14:textId="5BF08878" w:rsidR="00F80F70" w:rsidRDefault="00F80F70" w:rsidP="002545C2">
            <w:pPr>
              <w:rPr>
                <w:i/>
              </w:rPr>
            </w:pPr>
            <w:r>
              <w:rPr>
                <w:i/>
              </w:rPr>
              <w:t>3</w:t>
            </w:r>
          </w:p>
        </w:tc>
        <w:tc>
          <w:tcPr>
            <w:tcW w:w="6484" w:type="dxa"/>
          </w:tcPr>
          <w:p w14:paraId="3C6B033D" w14:textId="56AAE276" w:rsidR="00F80F70" w:rsidRDefault="00A70FD7" w:rsidP="00A70FD7">
            <w:r>
              <w:t>MPSE must allow m</w:t>
            </w:r>
            <w:r w:rsidR="00F80F70">
              <w:t xml:space="preserve">ailing addresses </w:t>
            </w:r>
            <w:r>
              <w:t xml:space="preserve">to have an </w:t>
            </w:r>
            <w:r w:rsidR="00F80F70">
              <w:t>attention</w:t>
            </w:r>
            <w:r>
              <w:t xml:space="preserve"> line</w:t>
            </w:r>
            <w:r w:rsidR="00F80F70">
              <w:t xml:space="preserve">.  The </w:t>
            </w:r>
            <w:r>
              <w:t>attention line of MPSE will be sent to address line 1 of MMIS if the concatenation of the MPSE address line 1, line 2 type, and line 2 fit on the address line 2 in MMIS.  (Each address line is 28 characters in MMIS)</w:t>
            </w:r>
          </w:p>
        </w:tc>
        <w:tc>
          <w:tcPr>
            <w:tcW w:w="1349" w:type="dxa"/>
          </w:tcPr>
          <w:p w14:paraId="706804BD" w14:textId="77777777" w:rsidR="00F80F70" w:rsidRDefault="00F80F70" w:rsidP="002545C2"/>
        </w:tc>
        <w:tc>
          <w:tcPr>
            <w:tcW w:w="1367" w:type="dxa"/>
          </w:tcPr>
          <w:p w14:paraId="618AAEBC" w14:textId="616968B5" w:rsidR="00F80F70" w:rsidRDefault="00A70FD7" w:rsidP="002545C2">
            <w:r>
              <w:t>Closed</w:t>
            </w:r>
          </w:p>
        </w:tc>
      </w:tr>
    </w:tbl>
    <w:p w14:paraId="014D3969" w14:textId="0189A197" w:rsidR="00FE2D12" w:rsidRDefault="00245EAE" w:rsidP="00FE2D12">
      <w:pPr>
        <w:pStyle w:val="Heading1"/>
      </w:pPr>
      <w:r w:rsidRPr="00FE2D12">
        <w:t>Description</w:t>
      </w:r>
    </w:p>
    <w:p w14:paraId="10BE0647" w14:textId="5C432840" w:rsidR="00245EAE" w:rsidRPr="00FE2D12" w:rsidRDefault="00245EAE" w:rsidP="00245EAE">
      <w:pPr>
        <w:spacing w:after="120"/>
      </w:pPr>
      <w:r w:rsidRPr="00FE2D12">
        <w:t xml:space="preserve">This use case describes </w:t>
      </w:r>
      <w:r w:rsidR="00DD0978">
        <w:t>adding</w:t>
      </w:r>
      <w:r w:rsidR="00C32D48">
        <w:t xml:space="preserve">, </w:t>
      </w:r>
      <w:r w:rsidR="00DD0978">
        <w:t>updating</w:t>
      </w:r>
      <w:r w:rsidR="00C32D48">
        <w:t>, and viewing</w:t>
      </w:r>
      <w:r w:rsidRPr="00FE2D12">
        <w:t xml:space="preserve"> </w:t>
      </w:r>
      <w:r w:rsidR="00860016" w:rsidRPr="00F80F70">
        <w:rPr>
          <w:u w:val="single"/>
        </w:rPr>
        <w:t>addresses</w:t>
      </w:r>
      <w:r w:rsidR="00C32D48">
        <w:t>.</w:t>
      </w:r>
    </w:p>
    <w:p w14:paraId="5A81DF89" w14:textId="77777777" w:rsidR="00FE2D12" w:rsidRDefault="00245EAE" w:rsidP="00FE2D12">
      <w:pPr>
        <w:pStyle w:val="Heading1"/>
      </w:pPr>
      <w:r w:rsidRPr="00FE2D12">
        <w:t>Primary actor(s)</w:t>
      </w:r>
    </w:p>
    <w:p w14:paraId="10BE0648" w14:textId="3DE0BF5C" w:rsidR="00245EAE" w:rsidRPr="00C32D48" w:rsidRDefault="00245EAE" w:rsidP="00C32D48">
      <w:pPr>
        <w:pStyle w:val="ListParagraph"/>
        <w:numPr>
          <w:ilvl w:val="0"/>
          <w:numId w:val="29"/>
        </w:numPr>
        <w:spacing w:after="120"/>
        <w:rPr>
          <w:u w:val="double"/>
        </w:rPr>
      </w:pPr>
      <w:r w:rsidRPr="00C32D48">
        <w:rPr>
          <w:u w:val="double"/>
        </w:rPr>
        <w:t>User</w:t>
      </w:r>
    </w:p>
    <w:p w14:paraId="10BE065E" w14:textId="49BC06EB" w:rsidR="00FE4E37" w:rsidRPr="00FE2D12" w:rsidRDefault="00DE32E6" w:rsidP="00FE2D12">
      <w:pPr>
        <w:pStyle w:val="Heading1"/>
      </w:pPr>
      <w:r w:rsidRPr="00FE2D12">
        <w:t>Main</w:t>
      </w:r>
      <w:r w:rsidR="00FE4E37" w:rsidRPr="00FE2D12">
        <w:t xml:space="preserve"> flow</w:t>
      </w:r>
      <w:r w:rsidR="00FE2D12">
        <w:t xml:space="preserve">: </w:t>
      </w:r>
      <w:r w:rsidR="00FE4E37" w:rsidRPr="00FE2D12">
        <w:t>Create</w:t>
      </w:r>
      <w:r w:rsidR="00A87D0C">
        <w:t>/update</w:t>
      </w:r>
      <w:r w:rsidR="00FE4E37" w:rsidRPr="00FE2D12">
        <w:t xml:space="preserve"> address</w:t>
      </w:r>
    </w:p>
    <w:p w14:paraId="3BE947C3" w14:textId="77777777" w:rsidR="00FE2D12" w:rsidRDefault="00FE2D12" w:rsidP="00FE2D12">
      <w:pPr>
        <w:pStyle w:val="Heading2"/>
      </w:pPr>
      <w:r w:rsidRPr="00FE2D12">
        <w:t>Precondition(s)</w:t>
      </w:r>
    </w:p>
    <w:p w14:paraId="7C0BE83F" w14:textId="1A95D12F" w:rsidR="00C23AF5" w:rsidRDefault="00FE2D12" w:rsidP="00C325E9">
      <w:pPr>
        <w:pStyle w:val="ListParagraph"/>
        <w:numPr>
          <w:ilvl w:val="0"/>
          <w:numId w:val="25"/>
        </w:numPr>
        <w:tabs>
          <w:tab w:val="left" w:pos="3585"/>
        </w:tabs>
        <w:spacing w:after="120"/>
      </w:pPr>
      <w:r w:rsidRPr="00F80F70">
        <w:t>User</w:t>
      </w:r>
      <w:r>
        <w:t xml:space="preserve"> has </w:t>
      </w:r>
      <w:r w:rsidR="00A87D0C">
        <w:t xml:space="preserve">invoked option to create or update an </w:t>
      </w:r>
      <w:r w:rsidR="00A87D0C" w:rsidRPr="00C32D48">
        <w:rPr>
          <w:u w:val="single"/>
        </w:rPr>
        <w:t>address</w:t>
      </w:r>
      <w:r w:rsidR="00A87D0C">
        <w:t xml:space="preserve"> in the "calling" use case</w:t>
      </w:r>
    </w:p>
    <w:p w14:paraId="712AF10D" w14:textId="28E56C9F" w:rsidR="00C32D48" w:rsidRDefault="00C32D48" w:rsidP="00C32D48">
      <w:pPr>
        <w:pStyle w:val="ListParagraph"/>
        <w:numPr>
          <w:ilvl w:val="1"/>
          <w:numId w:val="25"/>
        </w:numPr>
        <w:tabs>
          <w:tab w:val="left" w:pos="3585"/>
        </w:tabs>
        <w:spacing w:after="120"/>
      </w:pPr>
      <w:r w:rsidRPr="00C32D48">
        <w:t>UC009_User_Manage_Facility_Location</w:t>
      </w:r>
      <w:r>
        <w:t xml:space="preserve"> calls this use case for "Physical" and "Mailing" addresses</w:t>
      </w:r>
    </w:p>
    <w:p w14:paraId="0171C648" w14:textId="0484E1BD" w:rsidR="00C32D48" w:rsidRPr="00C32D48" w:rsidRDefault="00C32D48" w:rsidP="00C32D48">
      <w:pPr>
        <w:pStyle w:val="ListParagraph"/>
        <w:numPr>
          <w:ilvl w:val="1"/>
          <w:numId w:val="25"/>
        </w:numPr>
        <w:tabs>
          <w:tab w:val="left" w:pos="3585"/>
        </w:tabs>
        <w:spacing w:after="120"/>
      </w:pPr>
      <w:r w:rsidRPr="00C32D48">
        <w:lastRenderedPageBreak/>
        <w:t>UC030_User_Manage_PCPO_Supervising_Professional</w:t>
      </w:r>
      <w:r>
        <w:t xml:space="preserve"> calls this use case for "Residence" address</w:t>
      </w:r>
    </w:p>
    <w:p w14:paraId="721FCB5E" w14:textId="52818EFB" w:rsidR="00FE2D12" w:rsidRPr="00FE2D12" w:rsidRDefault="00FE2D12" w:rsidP="00FE2D12">
      <w:pPr>
        <w:pStyle w:val="Heading2"/>
      </w:pPr>
      <w:r>
        <w:t>Steps</w:t>
      </w:r>
    </w:p>
    <w:p w14:paraId="10BE0660" w14:textId="0AC8F59C" w:rsidR="007743D4" w:rsidRDefault="00860016" w:rsidP="007743D4">
      <w:pPr>
        <w:pStyle w:val="ListParagraph"/>
        <w:numPr>
          <w:ilvl w:val="0"/>
          <w:numId w:val="17"/>
        </w:numPr>
        <w:spacing w:after="200"/>
      </w:pPr>
      <w:r>
        <w:t xml:space="preserve">System determines the </w:t>
      </w:r>
      <w:r w:rsidRPr="00422B5B">
        <w:rPr>
          <w:u w:val="single"/>
        </w:rPr>
        <w:t>address type</w:t>
      </w:r>
      <w:r>
        <w:t xml:space="preserve"> </w:t>
      </w:r>
      <w:r w:rsidR="00C32D48">
        <w:t xml:space="preserve">of the </w:t>
      </w:r>
      <w:r w:rsidR="00C32D48" w:rsidRPr="00C32D48">
        <w:rPr>
          <w:u w:val="single"/>
        </w:rPr>
        <w:t>address</w:t>
      </w:r>
      <w:r w:rsidR="00C32D48">
        <w:t xml:space="preserve"> to </w:t>
      </w:r>
      <w:r>
        <w:t>added</w:t>
      </w:r>
      <w:r w:rsidR="00A87D0C">
        <w:t>/updated</w:t>
      </w:r>
      <w:r w:rsidR="00422B5B">
        <w:t xml:space="preserve"> – </w:t>
      </w:r>
      <w:r w:rsidR="00FE2D12">
        <w:t>see calling use case</w:t>
      </w:r>
    </w:p>
    <w:p w14:paraId="57790AEA" w14:textId="2980D7D4" w:rsidR="00F10907" w:rsidRDefault="00F10907" w:rsidP="00F10907">
      <w:pPr>
        <w:pStyle w:val="ListParagraph"/>
        <w:numPr>
          <w:ilvl w:val="0"/>
          <w:numId w:val="17"/>
        </w:numPr>
        <w:spacing w:after="200"/>
      </w:pPr>
      <w:r>
        <w:t xml:space="preserve">System displays the </w:t>
      </w:r>
      <w:r w:rsidR="00B127C7">
        <w:t>following fields:</w:t>
      </w:r>
    </w:p>
    <w:p w14:paraId="4D221F01" w14:textId="494C3328" w:rsidR="00F80F70" w:rsidRDefault="00F80F70" w:rsidP="00365EAF">
      <w:pPr>
        <w:pStyle w:val="ListParagraph"/>
        <w:numPr>
          <w:ilvl w:val="1"/>
          <w:numId w:val="17"/>
        </w:numPr>
        <w:spacing w:after="200"/>
        <w:rPr>
          <w:u w:val="single"/>
        </w:rPr>
      </w:pPr>
      <w:r>
        <w:rPr>
          <w:u w:val="single"/>
        </w:rPr>
        <w:t>Attention</w:t>
      </w:r>
      <w:r w:rsidRPr="00F80F70">
        <w:t xml:space="preserve"> – see business rule 110</w:t>
      </w:r>
    </w:p>
    <w:p w14:paraId="10BE0662" w14:textId="6786EF60" w:rsidR="00365EAF" w:rsidRPr="003464F3" w:rsidRDefault="004429C3" w:rsidP="00365EAF">
      <w:pPr>
        <w:pStyle w:val="ListParagraph"/>
        <w:numPr>
          <w:ilvl w:val="1"/>
          <w:numId w:val="17"/>
        </w:numPr>
        <w:spacing w:after="200"/>
        <w:rPr>
          <w:u w:val="single"/>
        </w:rPr>
      </w:pPr>
      <w:r w:rsidRPr="003464F3">
        <w:rPr>
          <w:u w:val="single"/>
        </w:rPr>
        <w:t>Line 1</w:t>
      </w:r>
    </w:p>
    <w:p w14:paraId="10BE0663" w14:textId="35A60658" w:rsidR="00365EAF" w:rsidRPr="006414F2" w:rsidRDefault="004429C3" w:rsidP="00365EAF">
      <w:pPr>
        <w:pStyle w:val="ListParagraph"/>
        <w:numPr>
          <w:ilvl w:val="1"/>
          <w:numId w:val="17"/>
        </w:numPr>
        <w:spacing w:after="200"/>
      </w:pPr>
      <w:r w:rsidRPr="003464F3">
        <w:rPr>
          <w:u w:val="single"/>
        </w:rPr>
        <w:t>Line 2 Type</w:t>
      </w:r>
      <w:r w:rsidR="006414F2" w:rsidRPr="006414F2">
        <w:t xml:space="preserve"> – see Address_Line2_Type.xls</w:t>
      </w:r>
    </w:p>
    <w:p w14:paraId="10BE0668" w14:textId="46A3F2CA" w:rsidR="00365EAF" w:rsidRPr="003464F3" w:rsidRDefault="004429C3" w:rsidP="00365EAF">
      <w:pPr>
        <w:pStyle w:val="ListParagraph"/>
        <w:numPr>
          <w:ilvl w:val="1"/>
          <w:numId w:val="17"/>
        </w:numPr>
        <w:spacing w:after="200"/>
        <w:rPr>
          <w:u w:val="single"/>
        </w:rPr>
      </w:pPr>
      <w:r w:rsidRPr="003464F3">
        <w:rPr>
          <w:u w:val="single"/>
        </w:rPr>
        <w:t>Line 2</w:t>
      </w:r>
    </w:p>
    <w:p w14:paraId="0FA4110E" w14:textId="77777777" w:rsidR="004429C3" w:rsidRPr="003464F3" w:rsidRDefault="004429C3" w:rsidP="00365EAF">
      <w:pPr>
        <w:pStyle w:val="ListParagraph"/>
        <w:numPr>
          <w:ilvl w:val="1"/>
          <w:numId w:val="17"/>
        </w:numPr>
        <w:spacing w:after="200"/>
        <w:rPr>
          <w:u w:val="single"/>
        </w:rPr>
      </w:pPr>
      <w:r w:rsidRPr="003464F3">
        <w:rPr>
          <w:u w:val="single"/>
        </w:rPr>
        <w:t>City</w:t>
      </w:r>
    </w:p>
    <w:p w14:paraId="10BE066A" w14:textId="6362493C" w:rsidR="00365EAF" w:rsidRPr="003464F3" w:rsidRDefault="00AF36E2" w:rsidP="00365EAF">
      <w:pPr>
        <w:pStyle w:val="ListParagraph"/>
        <w:numPr>
          <w:ilvl w:val="1"/>
          <w:numId w:val="17"/>
        </w:numPr>
        <w:spacing w:after="200"/>
        <w:rPr>
          <w:u w:val="single"/>
        </w:rPr>
      </w:pPr>
      <w:r>
        <w:rPr>
          <w:u w:val="single"/>
        </w:rPr>
        <w:t>State</w:t>
      </w:r>
      <w:r w:rsidR="002157CC" w:rsidRPr="002157CC">
        <w:t xml:space="preserve"> – see State.xls</w:t>
      </w:r>
    </w:p>
    <w:p w14:paraId="10BE066B" w14:textId="4A71C696" w:rsidR="00365EAF" w:rsidRPr="003464F3" w:rsidRDefault="004429C3" w:rsidP="00365EAF">
      <w:pPr>
        <w:pStyle w:val="ListParagraph"/>
        <w:numPr>
          <w:ilvl w:val="1"/>
          <w:numId w:val="17"/>
        </w:numPr>
        <w:spacing w:after="200"/>
        <w:rPr>
          <w:u w:val="single"/>
        </w:rPr>
      </w:pPr>
      <w:r w:rsidRPr="003464F3">
        <w:rPr>
          <w:u w:val="single"/>
        </w:rPr>
        <w:t>Zip</w:t>
      </w:r>
    </w:p>
    <w:p w14:paraId="10BE066C" w14:textId="4914FDDE" w:rsidR="00365EAF" w:rsidRDefault="00365EAF" w:rsidP="00365EAF">
      <w:pPr>
        <w:pStyle w:val="ListParagraph"/>
        <w:numPr>
          <w:ilvl w:val="1"/>
          <w:numId w:val="17"/>
        </w:numPr>
        <w:spacing w:after="200"/>
      </w:pPr>
      <w:r w:rsidRPr="003464F3">
        <w:rPr>
          <w:u w:val="single"/>
        </w:rPr>
        <w:t>County</w:t>
      </w:r>
      <w:r w:rsidR="00686198">
        <w:rPr>
          <w:u w:val="single"/>
        </w:rPr>
        <w:t>/Tribe</w:t>
      </w:r>
      <w:r>
        <w:t xml:space="preserve"> </w:t>
      </w:r>
      <w:r w:rsidR="00A70FD7">
        <w:t>–</w:t>
      </w:r>
      <w:r w:rsidR="004D6E17">
        <w:t xml:space="preserve"> see business rules 22-28</w:t>
      </w:r>
      <w:r w:rsidR="005A3A19">
        <w:t xml:space="preserve"> – see County</w:t>
      </w:r>
      <w:r w:rsidR="00FE2D12">
        <w:t>_Tribe</w:t>
      </w:r>
      <w:r w:rsidR="005A3A19">
        <w:t>.xls</w:t>
      </w:r>
    </w:p>
    <w:p w14:paraId="10BE066D" w14:textId="4B83A5B8" w:rsidR="007743D4" w:rsidRDefault="00AF36E2" w:rsidP="007743D4">
      <w:pPr>
        <w:pStyle w:val="ListParagraph"/>
        <w:numPr>
          <w:ilvl w:val="0"/>
          <w:numId w:val="17"/>
        </w:numPr>
        <w:spacing w:after="200"/>
      </w:pPr>
      <w:r>
        <w:t xml:space="preserve">User </w:t>
      </w:r>
      <w:r w:rsidR="00FE2D12">
        <w:t>enters/updates the information</w:t>
      </w:r>
    </w:p>
    <w:p w14:paraId="10BE066E" w14:textId="3FBCE514" w:rsidR="007743D4" w:rsidRDefault="007743D4" w:rsidP="00FE2D12">
      <w:pPr>
        <w:pStyle w:val="ListParagraph"/>
        <w:numPr>
          <w:ilvl w:val="0"/>
          <w:numId w:val="17"/>
        </w:numPr>
        <w:spacing w:after="200"/>
      </w:pPr>
      <w:r>
        <w:t xml:space="preserve">System </w:t>
      </w:r>
      <w:r w:rsidR="00FE2D12">
        <w:t>v</w:t>
      </w:r>
      <w:r>
        <w:t xml:space="preserve">alidates address – see business rules </w:t>
      </w:r>
      <w:r w:rsidR="00F80F70">
        <w:t xml:space="preserve">110, </w:t>
      </w:r>
      <w:r w:rsidR="00301461">
        <w:t>9</w:t>
      </w:r>
      <w:r w:rsidR="00EE2110">
        <w:t>-</w:t>
      </w:r>
      <w:r w:rsidR="00301461">
        <w:t>15, 1</w:t>
      </w:r>
      <w:r w:rsidR="008C5941">
        <w:t>7</w:t>
      </w:r>
      <w:r w:rsidR="00301461">
        <w:t>-28</w:t>
      </w:r>
      <w:r w:rsidR="005C50C1">
        <w:t>, 56</w:t>
      </w:r>
    </w:p>
    <w:p w14:paraId="10BE0671" w14:textId="77777777" w:rsidR="007743D4" w:rsidRDefault="007743D4" w:rsidP="007743D4">
      <w:pPr>
        <w:pStyle w:val="ListParagraph"/>
        <w:numPr>
          <w:ilvl w:val="0"/>
          <w:numId w:val="17"/>
        </w:numPr>
        <w:spacing w:after="200"/>
      </w:pPr>
      <w:r>
        <w:t>Use case ends</w:t>
      </w:r>
    </w:p>
    <w:p w14:paraId="15C3670A" w14:textId="5E35EA84" w:rsidR="00A87D0C" w:rsidRDefault="00A87D0C" w:rsidP="00FE2D12">
      <w:pPr>
        <w:pStyle w:val="Heading2"/>
      </w:pPr>
      <w:r>
        <w:t>Alternate</w:t>
      </w:r>
      <w:r w:rsidR="00C325E9">
        <w:t xml:space="preserve"> flow: Update address used elsewhere</w:t>
      </w:r>
    </w:p>
    <w:p w14:paraId="6E7FB432" w14:textId="525AA29E" w:rsidR="00CF6A40" w:rsidRDefault="00CF6A40" w:rsidP="00CF6A40">
      <w:r>
        <w:t>This flow occurs after step 1 of the main flow.</w:t>
      </w:r>
    </w:p>
    <w:p w14:paraId="711CC0E4" w14:textId="4369F4B9" w:rsidR="00CF6A40" w:rsidRDefault="00CF6A40" w:rsidP="00CF6A40">
      <w:pPr>
        <w:pStyle w:val="ListParagraph"/>
        <w:numPr>
          <w:ilvl w:val="0"/>
          <w:numId w:val="30"/>
        </w:numPr>
      </w:pPr>
      <w:r>
        <w:t xml:space="preserve">System determines the </w:t>
      </w:r>
      <w:r w:rsidRPr="00C325E9">
        <w:rPr>
          <w:u w:val="single"/>
        </w:rPr>
        <w:t>address</w:t>
      </w:r>
      <w:r>
        <w:t xml:space="preserve"> is used elsewhere on the </w:t>
      </w:r>
      <w:r w:rsidRPr="00C325E9">
        <w:rPr>
          <w:u w:val="double"/>
        </w:rPr>
        <w:t>in-process provider profile</w:t>
      </w:r>
    </w:p>
    <w:p w14:paraId="0C3890EE" w14:textId="42BB1695" w:rsidR="00CF6A40" w:rsidRDefault="00CF6A40" w:rsidP="00CF6A40">
      <w:pPr>
        <w:pStyle w:val="ListParagraph"/>
        <w:numPr>
          <w:ilvl w:val="0"/>
          <w:numId w:val="30"/>
        </w:numPr>
      </w:pPr>
      <w:r>
        <w:t xml:space="preserve">System display list of where else the </w:t>
      </w:r>
      <w:r w:rsidRPr="00CF6A40">
        <w:rPr>
          <w:u w:val="single"/>
        </w:rPr>
        <w:t>address</w:t>
      </w:r>
      <w:r>
        <w:t xml:space="preserve"> is used (so that the user knows the impact of changing the address)</w:t>
      </w:r>
    </w:p>
    <w:p w14:paraId="3430E1FE" w14:textId="1B45B7BD" w:rsidR="00CF6A40" w:rsidRPr="00A87D0C" w:rsidRDefault="00CF6A40" w:rsidP="00CF6A40">
      <w:pPr>
        <w:pStyle w:val="ListParagraph"/>
        <w:numPr>
          <w:ilvl w:val="0"/>
          <w:numId w:val="30"/>
        </w:numPr>
      </w:pPr>
      <w:r>
        <w:t>Continue with step 2 of the main flow</w:t>
      </w:r>
    </w:p>
    <w:p w14:paraId="66A698AC" w14:textId="17C4AD7F" w:rsidR="00C23AF5" w:rsidRDefault="00C23AF5" w:rsidP="00C23AF5">
      <w:pPr>
        <w:pStyle w:val="Heading1"/>
      </w:pPr>
      <w:r>
        <w:t>Main flow: View address</w:t>
      </w:r>
    </w:p>
    <w:p w14:paraId="6F40ACE3" w14:textId="369BCCD4" w:rsidR="00C23AF5" w:rsidRPr="00C23AF5" w:rsidRDefault="00C23AF5" w:rsidP="00C23AF5">
      <w:r>
        <w:t xml:space="preserve">When </w:t>
      </w:r>
      <w:r w:rsidR="00C325E9" w:rsidRPr="00C32D48">
        <w:rPr>
          <w:u w:val="double"/>
        </w:rPr>
        <w:t>user</w:t>
      </w:r>
      <w:r w:rsidR="00C325E9">
        <w:t xml:space="preserve"> invokes option to view an </w:t>
      </w:r>
      <w:r w:rsidR="00C325E9" w:rsidRPr="00C32D48">
        <w:rPr>
          <w:u w:val="single"/>
        </w:rPr>
        <w:t>address</w:t>
      </w:r>
      <w:r w:rsidR="00C325E9">
        <w:t xml:space="preserve"> in the "calling" use case, then the </w:t>
      </w:r>
      <w:r w:rsidRPr="00C32D48">
        <w:rPr>
          <w:u w:val="single"/>
        </w:rPr>
        <w:t>address</w:t>
      </w:r>
      <w:r>
        <w:t xml:space="preserve"> is </w:t>
      </w:r>
      <w:r w:rsidR="00C325E9">
        <w:t xml:space="preserve">displayed as </w:t>
      </w:r>
      <w:r>
        <w:t>"read-only".</w:t>
      </w:r>
    </w:p>
    <w:p w14:paraId="10BE06FD" w14:textId="1D7E71F7" w:rsidR="00245EAE" w:rsidRPr="00DD0978"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10BE0702" w14:textId="77777777" w:rsidTr="00CF6A40">
        <w:trPr>
          <w:cantSplit/>
          <w:tblHeader/>
        </w:trPr>
        <w:tc>
          <w:tcPr>
            <w:tcW w:w="918" w:type="dxa"/>
          </w:tcPr>
          <w:p w14:paraId="10BE06FE" w14:textId="77777777" w:rsidR="00245EAE" w:rsidRPr="002157CC" w:rsidRDefault="00245EAE" w:rsidP="000704BF">
            <w:pPr>
              <w:spacing w:after="120"/>
              <w:jc w:val="center"/>
            </w:pPr>
            <w:r w:rsidRPr="002157CC">
              <w:t>Version</w:t>
            </w:r>
          </w:p>
        </w:tc>
        <w:tc>
          <w:tcPr>
            <w:tcW w:w="1170" w:type="dxa"/>
          </w:tcPr>
          <w:p w14:paraId="10BE06FF" w14:textId="77777777" w:rsidR="00245EAE" w:rsidRPr="002157CC" w:rsidRDefault="00245EAE" w:rsidP="000704BF">
            <w:pPr>
              <w:spacing w:after="120"/>
              <w:jc w:val="center"/>
            </w:pPr>
            <w:r w:rsidRPr="002157CC">
              <w:t>Date Revised</w:t>
            </w:r>
          </w:p>
        </w:tc>
        <w:tc>
          <w:tcPr>
            <w:tcW w:w="1170" w:type="dxa"/>
          </w:tcPr>
          <w:p w14:paraId="10BE0700" w14:textId="77777777" w:rsidR="00245EAE" w:rsidRPr="002157CC" w:rsidRDefault="00245EAE" w:rsidP="000704BF">
            <w:pPr>
              <w:spacing w:after="120"/>
              <w:jc w:val="center"/>
            </w:pPr>
            <w:r w:rsidRPr="002157CC">
              <w:t>Revised By</w:t>
            </w:r>
          </w:p>
        </w:tc>
        <w:tc>
          <w:tcPr>
            <w:tcW w:w="6318" w:type="dxa"/>
          </w:tcPr>
          <w:p w14:paraId="10BE0701" w14:textId="77777777" w:rsidR="00245EAE" w:rsidRPr="002157CC" w:rsidRDefault="00245EAE" w:rsidP="000704BF">
            <w:pPr>
              <w:spacing w:after="120"/>
              <w:jc w:val="center"/>
            </w:pPr>
            <w:r w:rsidRPr="002157CC">
              <w:t>Revisions</w:t>
            </w:r>
          </w:p>
        </w:tc>
      </w:tr>
      <w:tr w:rsidR="00245EAE" w:rsidRPr="002157CC" w14:paraId="10BE0707" w14:textId="77777777" w:rsidTr="00CF6A40">
        <w:trPr>
          <w:cantSplit/>
        </w:trPr>
        <w:tc>
          <w:tcPr>
            <w:tcW w:w="918" w:type="dxa"/>
          </w:tcPr>
          <w:p w14:paraId="10BE0703" w14:textId="597DD1A9" w:rsidR="00245EAE" w:rsidRPr="002157CC" w:rsidRDefault="002157CC" w:rsidP="000704BF">
            <w:pPr>
              <w:spacing w:after="120"/>
            </w:pPr>
            <w:r w:rsidRPr="002157CC">
              <w:t>1</w:t>
            </w:r>
          </w:p>
        </w:tc>
        <w:tc>
          <w:tcPr>
            <w:tcW w:w="1170" w:type="dxa"/>
          </w:tcPr>
          <w:p w14:paraId="10BE0704" w14:textId="77777777" w:rsidR="00245EAE" w:rsidRPr="002157CC" w:rsidRDefault="00245EAE" w:rsidP="000704BF">
            <w:pPr>
              <w:spacing w:after="120"/>
            </w:pPr>
          </w:p>
        </w:tc>
        <w:tc>
          <w:tcPr>
            <w:tcW w:w="1170" w:type="dxa"/>
          </w:tcPr>
          <w:p w14:paraId="10BE0705" w14:textId="77777777" w:rsidR="00245EAE" w:rsidRPr="002157CC" w:rsidRDefault="00245EAE" w:rsidP="000704BF">
            <w:pPr>
              <w:spacing w:after="120"/>
            </w:pPr>
          </w:p>
        </w:tc>
        <w:tc>
          <w:tcPr>
            <w:tcW w:w="6318" w:type="dxa"/>
          </w:tcPr>
          <w:p w14:paraId="10BE0706" w14:textId="4AE11F67" w:rsidR="00245EAE" w:rsidRPr="002157CC" w:rsidRDefault="002157CC" w:rsidP="000704BF">
            <w:pPr>
              <w:spacing w:after="120"/>
            </w:pPr>
            <w:r w:rsidRPr="002157CC">
              <w:t>Initial draft</w:t>
            </w:r>
          </w:p>
        </w:tc>
      </w:tr>
      <w:tr w:rsidR="002157CC" w:rsidRPr="002157CC" w14:paraId="3970C0A6" w14:textId="77777777" w:rsidTr="00CF6A40">
        <w:trPr>
          <w:cantSplit/>
        </w:trPr>
        <w:tc>
          <w:tcPr>
            <w:tcW w:w="918" w:type="dxa"/>
          </w:tcPr>
          <w:p w14:paraId="135D5719" w14:textId="359B68C3" w:rsidR="002157CC" w:rsidRPr="002157CC" w:rsidRDefault="002157CC" w:rsidP="000704BF">
            <w:pPr>
              <w:spacing w:after="120"/>
            </w:pPr>
            <w:r>
              <w:t>2</w:t>
            </w:r>
          </w:p>
        </w:tc>
        <w:tc>
          <w:tcPr>
            <w:tcW w:w="1170" w:type="dxa"/>
          </w:tcPr>
          <w:p w14:paraId="7EE322C2" w14:textId="260ECD1E" w:rsidR="002157CC" w:rsidRPr="002157CC" w:rsidRDefault="002157CC" w:rsidP="000704BF">
            <w:pPr>
              <w:spacing w:after="120"/>
            </w:pPr>
            <w:r>
              <w:t>1/16/2015</w:t>
            </w:r>
          </w:p>
        </w:tc>
        <w:tc>
          <w:tcPr>
            <w:tcW w:w="1170" w:type="dxa"/>
          </w:tcPr>
          <w:p w14:paraId="6AB97405" w14:textId="20DFCE4B" w:rsidR="002157CC" w:rsidRPr="002157CC" w:rsidRDefault="002157CC" w:rsidP="000704BF">
            <w:pPr>
              <w:spacing w:after="120"/>
            </w:pPr>
            <w:r>
              <w:t>David M</w:t>
            </w:r>
          </w:p>
        </w:tc>
        <w:tc>
          <w:tcPr>
            <w:tcW w:w="6318" w:type="dxa"/>
          </w:tcPr>
          <w:p w14:paraId="67A4D448" w14:textId="2E65FCDD" w:rsidR="002157CC" w:rsidRPr="002157CC" w:rsidRDefault="002157CC" w:rsidP="00AB05A0">
            <w:pPr>
              <w:spacing w:after="120"/>
            </w:pPr>
            <w:r>
              <w:t xml:space="preserve">Reference </w:t>
            </w:r>
            <w:proofErr w:type="spellStart"/>
            <w:r w:rsidR="00AB05A0">
              <w:t>xls</w:t>
            </w:r>
            <w:proofErr w:type="spellEnd"/>
            <w:r w:rsidR="00AB05A0">
              <w:t xml:space="preserve"> </w:t>
            </w:r>
            <w:r>
              <w:t xml:space="preserve">lists for </w:t>
            </w:r>
            <w:r w:rsidR="00AB05A0">
              <w:t xml:space="preserve">address type, </w:t>
            </w:r>
            <w:r>
              <w:t>state and county</w:t>
            </w:r>
          </w:p>
        </w:tc>
      </w:tr>
      <w:tr w:rsidR="00FE2D12" w:rsidRPr="002157CC" w14:paraId="07C7C126" w14:textId="77777777" w:rsidTr="00CF6A40">
        <w:trPr>
          <w:cantSplit/>
        </w:trPr>
        <w:tc>
          <w:tcPr>
            <w:tcW w:w="918" w:type="dxa"/>
          </w:tcPr>
          <w:p w14:paraId="2F5E1BD2" w14:textId="1549753F" w:rsidR="00FE2D12" w:rsidRDefault="00FE2D12" w:rsidP="000704BF">
            <w:pPr>
              <w:spacing w:after="120"/>
            </w:pPr>
            <w:r>
              <w:t>3</w:t>
            </w:r>
          </w:p>
        </w:tc>
        <w:tc>
          <w:tcPr>
            <w:tcW w:w="1170" w:type="dxa"/>
          </w:tcPr>
          <w:p w14:paraId="485E07CE" w14:textId="3E23AC55" w:rsidR="00FE2D12" w:rsidRDefault="00FE2D12" w:rsidP="000704BF">
            <w:pPr>
              <w:spacing w:after="120"/>
            </w:pPr>
            <w:r>
              <w:t>2/6/2015</w:t>
            </w:r>
          </w:p>
        </w:tc>
        <w:tc>
          <w:tcPr>
            <w:tcW w:w="1170" w:type="dxa"/>
          </w:tcPr>
          <w:p w14:paraId="5A5E4360" w14:textId="7997066D" w:rsidR="00FE2D12" w:rsidRDefault="00FE2D12" w:rsidP="000704BF">
            <w:pPr>
              <w:spacing w:after="120"/>
            </w:pPr>
            <w:r>
              <w:t>David M</w:t>
            </w:r>
          </w:p>
        </w:tc>
        <w:tc>
          <w:tcPr>
            <w:tcW w:w="6318" w:type="dxa"/>
          </w:tcPr>
          <w:p w14:paraId="1EA46BE7" w14:textId="77777777" w:rsidR="00FE2D12" w:rsidRDefault="00FE2D12" w:rsidP="00406AC3">
            <w:pPr>
              <w:pStyle w:val="ListParagraph"/>
              <w:numPr>
                <w:ilvl w:val="0"/>
                <w:numId w:val="28"/>
              </w:numPr>
              <w:spacing w:after="120"/>
            </w:pPr>
            <w:r>
              <w:t>Refactor for residence address</w:t>
            </w:r>
          </w:p>
          <w:p w14:paraId="1299F11F" w14:textId="36C3E9C9" w:rsidR="00EF7064" w:rsidRDefault="00EF7064" w:rsidP="00406AC3">
            <w:pPr>
              <w:pStyle w:val="ListParagraph"/>
              <w:numPr>
                <w:ilvl w:val="0"/>
                <w:numId w:val="28"/>
              </w:numPr>
              <w:spacing w:after="120"/>
            </w:pPr>
            <w:r>
              <w:t>Update for versioning</w:t>
            </w:r>
          </w:p>
          <w:p w14:paraId="6D4B9609" w14:textId="24CC2DA0" w:rsidR="00406AC3" w:rsidRDefault="00406AC3" w:rsidP="00406AC3">
            <w:pPr>
              <w:pStyle w:val="ListParagraph"/>
              <w:numPr>
                <w:ilvl w:val="0"/>
                <w:numId w:val="28"/>
              </w:numPr>
              <w:spacing w:after="120"/>
            </w:pPr>
            <w:r>
              <w:t>Moved rules</w:t>
            </w:r>
          </w:p>
        </w:tc>
      </w:tr>
      <w:tr w:rsidR="004D6E17" w:rsidRPr="002157CC" w14:paraId="0AC75AF1" w14:textId="77777777" w:rsidTr="00CF6A40">
        <w:trPr>
          <w:cantSplit/>
        </w:trPr>
        <w:tc>
          <w:tcPr>
            <w:tcW w:w="918" w:type="dxa"/>
          </w:tcPr>
          <w:p w14:paraId="5F43CB52" w14:textId="1CF88E0B" w:rsidR="004D6E17" w:rsidRDefault="004D6E17" w:rsidP="000704BF">
            <w:pPr>
              <w:spacing w:after="120"/>
            </w:pPr>
            <w:r>
              <w:lastRenderedPageBreak/>
              <w:t>4</w:t>
            </w:r>
          </w:p>
        </w:tc>
        <w:tc>
          <w:tcPr>
            <w:tcW w:w="1170" w:type="dxa"/>
          </w:tcPr>
          <w:p w14:paraId="46DBF822" w14:textId="066E0235" w:rsidR="004D6E17" w:rsidRDefault="004D6E17" w:rsidP="000704BF">
            <w:pPr>
              <w:spacing w:after="120"/>
            </w:pPr>
            <w:r>
              <w:t>2/23/2015</w:t>
            </w:r>
          </w:p>
        </w:tc>
        <w:tc>
          <w:tcPr>
            <w:tcW w:w="1170" w:type="dxa"/>
          </w:tcPr>
          <w:p w14:paraId="7FCB070A" w14:textId="4557664C" w:rsidR="004D6E17" w:rsidRDefault="004D6E17" w:rsidP="000704BF">
            <w:pPr>
              <w:spacing w:after="120"/>
            </w:pPr>
            <w:r>
              <w:t>David M</w:t>
            </w:r>
          </w:p>
        </w:tc>
        <w:tc>
          <w:tcPr>
            <w:tcW w:w="6318" w:type="dxa"/>
          </w:tcPr>
          <w:p w14:paraId="282DD985" w14:textId="77777777" w:rsidR="004D6E17" w:rsidRDefault="004D6E17" w:rsidP="00CF6A40">
            <w:pPr>
              <w:pStyle w:val="ListParagraph"/>
              <w:numPr>
                <w:ilvl w:val="0"/>
                <w:numId w:val="28"/>
              </w:numPr>
              <w:spacing w:after="120"/>
            </w:pPr>
            <w:r>
              <w:t>Added attention</w:t>
            </w:r>
            <w:r w:rsidR="007B31CB">
              <w:t xml:space="preserve"> attribute and rule 110</w:t>
            </w:r>
          </w:p>
          <w:p w14:paraId="2ADA10E8" w14:textId="7274BFB9" w:rsidR="00CF6A40" w:rsidRDefault="00CF6A40" w:rsidP="00105F7D">
            <w:pPr>
              <w:pStyle w:val="ListParagraph"/>
              <w:numPr>
                <w:ilvl w:val="0"/>
                <w:numId w:val="28"/>
              </w:numPr>
              <w:spacing w:after="120"/>
            </w:pPr>
            <w:bookmarkStart w:id="0" w:name="_GoBack"/>
            <w:r>
              <w:t xml:space="preserve">Modify alternate flow "update address use elsewhere" to display list of where the address is used rather than a warning.  The where used list allows the user to understand the impact </w:t>
            </w:r>
            <w:r w:rsidR="00105F7D">
              <w:t xml:space="preserve">of changing the address without </w:t>
            </w:r>
            <w:r>
              <w:t>"hunt</w:t>
            </w:r>
            <w:r w:rsidR="00105F7D">
              <w:t>ing</w:t>
            </w:r>
            <w:r>
              <w:t xml:space="preserve"> around" to find where else the address is used</w:t>
            </w:r>
            <w:r w:rsidR="00105F7D">
              <w:t>.</w:t>
            </w:r>
            <w:bookmarkEnd w:id="0"/>
          </w:p>
        </w:tc>
      </w:tr>
    </w:tbl>
    <w:p w14:paraId="10BE0709" w14:textId="77777777" w:rsidR="00A80967" w:rsidRDefault="00A80967"/>
    <w:sectPr w:rsidR="00A80967"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44A6" w14:textId="77777777" w:rsidR="008B7F38" w:rsidRDefault="008B7F38" w:rsidP="00245EAE">
      <w:pPr>
        <w:spacing w:line="240" w:lineRule="auto"/>
      </w:pPr>
      <w:r>
        <w:separator/>
      </w:r>
    </w:p>
  </w:endnote>
  <w:endnote w:type="continuationSeparator" w:id="0">
    <w:p w14:paraId="1E0281AC" w14:textId="77777777" w:rsidR="008B7F38" w:rsidRDefault="008B7F38"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12" w14:textId="77777777" w:rsidR="001F47A0" w:rsidRDefault="00E40146" w:rsidP="001F47A0">
    <w:pPr>
      <w:pStyle w:val="Footer"/>
      <w:pBdr>
        <w:bottom w:val="single" w:sz="6" w:space="1" w:color="auto"/>
      </w:pBdr>
      <w:jc w:val="center"/>
    </w:pPr>
  </w:p>
  <w:p w14:paraId="10BE0713" w14:textId="77777777" w:rsidR="001F47A0" w:rsidRDefault="001D70C4" w:rsidP="005F37F7">
    <w:pPr>
      <w:pStyle w:val="Footer"/>
      <w:jc w:val="center"/>
    </w:pPr>
    <w:r>
      <w:tab/>
    </w:r>
    <w:r>
      <w:fldChar w:fldCharType="begin"/>
    </w:r>
    <w:r>
      <w:instrText xml:space="preserve"> PAGE  \* Arabic  \* MERGEFORMAT </w:instrText>
    </w:r>
    <w:r>
      <w:fldChar w:fldCharType="separate"/>
    </w:r>
    <w:r w:rsidR="001C3426">
      <w:rPr>
        <w:noProof/>
      </w:rPr>
      <w:t>3</w:t>
    </w:r>
    <w:r>
      <w:fldChar w:fldCharType="end"/>
    </w:r>
    <w:r>
      <w:tab/>
    </w:r>
    <w:r>
      <w:fldChar w:fldCharType="begin"/>
    </w:r>
    <w:r>
      <w:instrText xml:space="preserve"> SAVEDATE  \@ "M/d/yyyy h:mm am/pm"  \* MERGEFORMAT </w:instrText>
    </w:r>
    <w:r>
      <w:fldChar w:fldCharType="separate"/>
    </w:r>
    <w:r w:rsidR="001C3426">
      <w:rPr>
        <w:noProof/>
      </w:rPr>
      <w:t>2/23/2015 8:09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55442" w14:textId="77777777" w:rsidR="008B7F38" w:rsidRDefault="008B7F38" w:rsidP="00245EAE">
      <w:pPr>
        <w:spacing w:line="240" w:lineRule="auto"/>
      </w:pPr>
      <w:r>
        <w:separator/>
      </w:r>
    </w:p>
  </w:footnote>
  <w:footnote w:type="continuationSeparator" w:id="0">
    <w:p w14:paraId="67E91CE7" w14:textId="77777777" w:rsidR="008B7F38" w:rsidRDefault="008B7F38"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0F" w14:textId="0FC57067" w:rsidR="001F47A0" w:rsidRDefault="001D70C4" w:rsidP="006D0401">
    <w:pPr>
      <w:pStyle w:val="Header"/>
      <w:pBdr>
        <w:bottom w:val="single" w:sz="6" w:space="1" w:color="auto"/>
      </w:pBdr>
      <w:rPr>
        <w:b/>
      </w:rPr>
    </w:pPr>
    <w:r w:rsidRPr="00BF6324">
      <w:rPr>
        <w:b/>
      </w:rPr>
      <w:t>MPSE Project</w:t>
    </w:r>
    <w:r w:rsidRPr="00BF6324">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1C3426">
      <w:rPr>
        <w:b/>
        <w:noProof/>
      </w:rPr>
      <w:t>UC012_User_Manage_Addresses.docx</w:t>
    </w:r>
    <w:r w:rsidRPr="00BF6324">
      <w:rPr>
        <w:b/>
      </w:rPr>
      <w:fldChar w:fldCharType="end"/>
    </w:r>
  </w:p>
  <w:p w14:paraId="10BE0710" w14:textId="77777777" w:rsidR="001F47A0" w:rsidRDefault="00E401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28">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4"/>
  </w:num>
  <w:num w:numId="5">
    <w:abstractNumId w:val="14"/>
  </w:num>
  <w:num w:numId="6">
    <w:abstractNumId w:val="13"/>
  </w:num>
  <w:num w:numId="7">
    <w:abstractNumId w:val="18"/>
  </w:num>
  <w:num w:numId="8">
    <w:abstractNumId w:val="12"/>
  </w:num>
  <w:num w:numId="9">
    <w:abstractNumId w:val="3"/>
  </w:num>
  <w:num w:numId="10">
    <w:abstractNumId w:val="15"/>
  </w:num>
  <w:num w:numId="11">
    <w:abstractNumId w:val="19"/>
  </w:num>
  <w:num w:numId="12">
    <w:abstractNumId w:val="0"/>
  </w:num>
  <w:num w:numId="13">
    <w:abstractNumId w:val="16"/>
  </w:num>
  <w:num w:numId="14">
    <w:abstractNumId w:val="25"/>
  </w:num>
  <w:num w:numId="15">
    <w:abstractNumId w:val="10"/>
  </w:num>
  <w:num w:numId="16">
    <w:abstractNumId w:val="6"/>
  </w:num>
  <w:num w:numId="17">
    <w:abstractNumId w:val="7"/>
  </w:num>
  <w:num w:numId="18">
    <w:abstractNumId w:val="23"/>
  </w:num>
  <w:num w:numId="19">
    <w:abstractNumId w:val="24"/>
  </w:num>
  <w:num w:numId="20">
    <w:abstractNumId w:val="22"/>
  </w:num>
  <w:num w:numId="21">
    <w:abstractNumId w:val="17"/>
  </w:num>
  <w:num w:numId="22">
    <w:abstractNumId w:val="27"/>
  </w:num>
  <w:num w:numId="23">
    <w:abstractNumId w:val="20"/>
  </w:num>
  <w:num w:numId="24">
    <w:abstractNumId w:val="29"/>
  </w:num>
  <w:num w:numId="25">
    <w:abstractNumId w:val="9"/>
  </w:num>
  <w:num w:numId="26">
    <w:abstractNumId w:val="26"/>
  </w:num>
  <w:num w:numId="27">
    <w:abstractNumId w:val="11"/>
  </w:num>
  <w:num w:numId="28">
    <w:abstractNumId w:val="2"/>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2E36"/>
    <w:rsid w:val="000868FF"/>
    <w:rsid w:val="00095CFF"/>
    <w:rsid w:val="000A4D35"/>
    <w:rsid w:val="000B5AA4"/>
    <w:rsid w:val="000E66C9"/>
    <w:rsid w:val="000F728F"/>
    <w:rsid w:val="001034FA"/>
    <w:rsid w:val="00103DF7"/>
    <w:rsid w:val="00105F7D"/>
    <w:rsid w:val="0012077F"/>
    <w:rsid w:val="00132B8F"/>
    <w:rsid w:val="00135FA4"/>
    <w:rsid w:val="00170283"/>
    <w:rsid w:val="00173D90"/>
    <w:rsid w:val="00175670"/>
    <w:rsid w:val="001825C7"/>
    <w:rsid w:val="00184251"/>
    <w:rsid w:val="00196D0D"/>
    <w:rsid w:val="001A4B72"/>
    <w:rsid w:val="001A701F"/>
    <w:rsid w:val="001C3426"/>
    <w:rsid w:val="001C5B88"/>
    <w:rsid w:val="001D70C4"/>
    <w:rsid w:val="001F5A9A"/>
    <w:rsid w:val="002157CC"/>
    <w:rsid w:val="00215EC0"/>
    <w:rsid w:val="00232C27"/>
    <w:rsid w:val="00245EAE"/>
    <w:rsid w:val="00246F06"/>
    <w:rsid w:val="00290C58"/>
    <w:rsid w:val="002A23DC"/>
    <w:rsid w:val="002B7879"/>
    <w:rsid w:val="002D443B"/>
    <w:rsid w:val="002F6906"/>
    <w:rsid w:val="00301461"/>
    <w:rsid w:val="00312AA5"/>
    <w:rsid w:val="00317914"/>
    <w:rsid w:val="003313E9"/>
    <w:rsid w:val="003464F3"/>
    <w:rsid w:val="00347461"/>
    <w:rsid w:val="00365EAF"/>
    <w:rsid w:val="00396841"/>
    <w:rsid w:val="003C4F07"/>
    <w:rsid w:val="003D0ECF"/>
    <w:rsid w:val="003D142A"/>
    <w:rsid w:val="003D6D62"/>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2735"/>
    <w:rsid w:val="00562859"/>
    <w:rsid w:val="00581B0B"/>
    <w:rsid w:val="005A351B"/>
    <w:rsid w:val="005A3A19"/>
    <w:rsid w:val="005C50C1"/>
    <w:rsid w:val="005E4CDB"/>
    <w:rsid w:val="005E5A4A"/>
    <w:rsid w:val="005F7159"/>
    <w:rsid w:val="00617085"/>
    <w:rsid w:val="006414F2"/>
    <w:rsid w:val="0065287C"/>
    <w:rsid w:val="0065377D"/>
    <w:rsid w:val="00660BF7"/>
    <w:rsid w:val="006828B7"/>
    <w:rsid w:val="00686198"/>
    <w:rsid w:val="00695F2E"/>
    <w:rsid w:val="006D4A88"/>
    <w:rsid w:val="006E4134"/>
    <w:rsid w:val="006F034B"/>
    <w:rsid w:val="00714D01"/>
    <w:rsid w:val="00723C81"/>
    <w:rsid w:val="00726B6A"/>
    <w:rsid w:val="007743D4"/>
    <w:rsid w:val="007B31CB"/>
    <w:rsid w:val="007C5101"/>
    <w:rsid w:val="007D12F4"/>
    <w:rsid w:val="007D334C"/>
    <w:rsid w:val="0082345C"/>
    <w:rsid w:val="008236B5"/>
    <w:rsid w:val="00840E29"/>
    <w:rsid w:val="00840FE5"/>
    <w:rsid w:val="00843B5C"/>
    <w:rsid w:val="00860016"/>
    <w:rsid w:val="00860990"/>
    <w:rsid w:val="00866F4A"/>
    <w:rsid w:val="00873EBC"/>
    <w:rsid w:val="00882997"/>
    <w:rsid w:val="00895100"/>
    <w:rsid w:val="008A1790"/>
    <w:rsid w:val="008A3F4A"/>
    <w:rsid w:val="008B7F38"/>
    <w:rsid w:val="008C5941"/>
    <w:rsid w:val="008E02AE"/>
    <w:rsid w:val="008E02F3"/>
    <w:rsid w:val="0091288E"/>
    <w:rsid w:val="0092497B"/>
    <w:rsid w:val="0093086D"/>
    <w:rsid w:val="00952BA7"/>
    <w:rsid w:val="009848D2"/>
    <w:rsid w:val="00997A94"/>
    <w:rsid w:val="00997C06"/>
    <w:rsid w:val="009B51B6"/>
    <w:rsid w:val="009B6828"/>
    <w:rsid w:val="00A20AF7"/>
    <w:rsid w:val="00A230FF"/>
    <w:rsid w:val="00A3515B"/>
    <w:rsid w:val="00A70FD7"/>
    <w:rsid w:val="00A80967"/>
    <w:rsid w:val="00A87D0C"/>
    <w:rsid w:val="00A92FC9"/>
    <w:rsid w:val="00AA75AC"/>
    <w:rsid w:val="00AB05A0"/>
    <w:rsid w:val="00AC169D"/>
    <w:rsid w:val="00AD240C"/>
    <w:rsid w:val="00AD2A9C"/>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7671"/>
    <w:rsid w:val="00C001D2"/>
    <w:rsid w:val="00C01E86"/>
    <w:rsid w:val="00C11D07"/>
    <w:rsid w:val="00C23AF5"/>
    <w:rsid w:val="00C325E9"/>
    <w:rsid w:val="00C32D48"/>
    <w:rsid w:val="00C37043"/>
    <w:rsid w:val="00C613CB"/>
    <w:rsid w:val="00C63547"/>
    <w:rsid w:val="00CB1024"/>
    <w:rsid w:val="00CE5E03"/>
    <w:rsid w:val="00CF6A40"/>
    <w:rsid w:val="00D00375"/>
    <w:rsid w:val="00D11811"/>
    <w:rsid w:val="00D74AA5"/>
    <w:rsid w:val="00D778D6"/>
    <w:rsid w:val="00D878D5"/>
    <w:rsid w:val="00DA41EF"/>
    <w:rsid w:val="00DB3ABA"/>
    <w:rsid w:val="00DD0978"/>
    <w:rsid w:val="00DE32E6"/>
    <w:rsid w:val="00E02574"/>
    <w:rsid w:val="00E02B60"/>
    <w:rsid w:val="00E242DF"/>
    <w:rsid w:val="00EA7ADF"/>
    <w:rsid w:val="00EB53F0"/>
    <w:rsid w:val="00EC0491"/>
    <w:rsid w:val="00EC3CBD"/>
    <w:rsid w:val="00EC61F8"/>
    <w:rsid w:val="00ED2B30"/>
    <w:rsid w:val="00EE2110"/>
    <w:rsid w:val="00EF7064"/>
    <w:rsid w:val="00F047C7"/>
    <w:rsid w:val="00F10907"/>
    <w:rsid w:val="00F1216A"/>
    <w:rsid w:val="00F12BF1"/>
    <w:rsid w:val="00F1510D"/>
    <w:rsid w:val="00F15DB9"/>
    <w:rsid w:val="00F37359"/>
    <w:rsid w:val="00F450B6"/>
    <w:rsid w:val="00F51931"/>
    <w:rsid w:val="00F77848"/>
    <w:rsid w:val="00F80F70"/>
    <w:rsid w:val="00F96956"/>
    <w:rsid w:val="00F97FC1"/>
    <w:rsid w:val="00FA0C4E"/>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0BE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887574ed9a04fc6119f686c1e9be037f">
  <xsd:schema xmlns:xsd="http://www.w3.org/2001/XMLSchema" xmlns:xs="http://www.w3.org/2001/XMLSchema" xmlns:p="http://schemas.microsoft.com/office/2006/metadata/properties" xmlns:ns2="8fb07803-c468-4910-8515-b6c9a57278a1" targetNamespace="http://schemas.microsoft.com/office/2006/metadata/properties" ma:root="true" ma:fieldsID="b4ac88c724e08668fcb47adc41a0a2ac"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479B3-2080-46B5-885D-6BA38A7CD666}">
  <ds:schemaRefs>
    <ds:schemaRef ds:uri="8fb07803-c468-4910-8515-b6c9a57278a1"/>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C615F45-047D-4A8D-B7A1-053C77EF7D51}">
  <ds:schemaRefs>
    <ds:schemaRef ds:uri="http://schemas.microsoft.com/sharepoint/v3/contenttype/forms"/>
  </ds:schemaRefs>
</ds:datastoreItem>
</file>

<file path=customXml/itemProps3.xml><?xml version="1.0" encoding="utf-8"?>
<ds:datastoreItem xmlns:ds="http://schemas.openxmlformats.org/officeDocument/2006/customXml" ds:itemID="{C6AAA2C0-CA02-4E4A-9B14-F28303CFBAE5}">
  <ds:schemaRefs>
    <ds:schemaRef ds:uri="http://schemas.microsoft.com/sharepoint/events"/>
  </ds:schemaRefs>
</ds:datastoreItem>
</file>

<file path=customXml/itemProps4.xml><?xml version="1.0" encoding="utf-8"?>
<ds:datastoreItem xmlns:ds="http://schemas.openxmlformats.org/officeDocument/2006/customXml" ds:itemID="{3E8661D9-A127-4BBE-A541-072BF1192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2</cp:revision>
  <cp:lastPrinted>2015-02-23T14:09:00Z</cp:lastPrinted>
  <dcterms:created xsi:type="dcterms:W3CDTF">2015-02-23T14:10:00Z</dcterms:created>
  <dcterms:modified xsi:type="dcterms:W3CDTF">2015-02-23T14:10:00Z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