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6" w:type="dxa"/>
        <w:tblCellMar>
          <w:left w:w="0" w:type="dxa"/>
          <w:right w:w="0" w:type="dxa"/>
        </w:tblCellMar>
        <w:tblLook w:val="0000" w:firstRow="0" w:lastRow="0" w:firstColumn="0" w:lastColumn="0" w:noHBand="0" w:noVBand="0"/>
      </w:tblPr>
      <w:tblGrid>
        <w:gridCol w:w="3556"/>
        <w:gridCol w:w="5810"/>
      </w:tblGrid>
      <w:tr w:rsidR="00A30F28" w:rsidRPr="00A30F28" w14:paraId="0F13B866" w14:textId="77777777">
        <w:trPr>
          <w:trHeight w:val="527"/>
        </w:trPr>
        <w:tc>
          <w:tcPr>
            <w:tcW w:w="3556" w:type="dxa"/>
            <w:tcMar>
              <w:top w:w="0" w:type="dxa"/>
              <w:left w:w="108" w:type="dxa"/>
              <w:bottom w:w="0" w:type="dxa"/>
              <w:right w:w="108" w:type="dxa"/>
            </w:tcMar>
          </w:tcPr>
          <w:p w14:paraId="4125AFFD" w14:textId="77777777" w:rsidR="00A30F28" w:rsidRPr="00A30F28" w:rsidRDefault="00000000" w:rsidP="00A30F28">
            <w:pPr>
              <w:jc w:val="center"/>
              <w:rPr>
                <w:rFonts w:ascii="Times New Roman" w:hAnsi="Times New Roman"/>
                <w:sz w:val="26"/>
                <w:szCs w:val="28"/>
              </w:rPr>
            </w:pPr>
            <w:r>
              <w:rPr>
                <w:rFonts w:ascii="Times New Roman" w:hAnsi="Times New Roman"/>
                <w:b/>
                <w:bCs/>
                <w:noProof/>
                <w:sz w:val="26"/>
                <w:szCs w:val="28"/>
              </w:rPr>
              <w:pict w14:anchorId="32147698">
                <v:line id="_x0000_s1031" style="position:absolute;left:0;text-align:left;z-index:1" from="66.75pt,18.75pt" to="96.75pt,18.75pt"/>
              </w:pict>
            </w:r>
            <w:r w:rsidR="00A30F28" w:rsidRPr="00A30F28">
              <w:rPr>
                <w:rFonts w:ascii="Times New Roman" w:hAnsi="Times New Roman"/>
                <w:b/>
                <w:bCs/>
                <w:sz w:val="26"/>
                <w:szCs w:val="28"/>
              </w:rPr>
              <w:t>CHÍNH PHỦ</w:t>
            </w:r>
            <w:r w:rsidR="00A30F28" w:rsidRPr="00A30F28">
              <w:rPr>
                <w:rFonts w:ascii="Times New Roman" w:hAnsi="Times New Roman"/>
                <w:sz w:val="26"/>
                <w:szCs w:val="28"/>
              </w:rPr>
              <w:br/>
            </w:r>
          </w:p>
        </w:tc>
        <w:tc>
          <w:tcPr>
            <w:tcW w:w="5810" w:type="dxa"/>
            <w:tcMar>
              <w:top w:w="0" w:type="dxa"/>
              <w:left w:w="108" w:type="dxa"/>
              <w:bottom w:w="0" w:type="dxa"/>
              <w:right w:w="108" w:type="dxa"/>
            </w:tcMar>
          </w:tcPr>
          <w:p w14:paraId="5DDD5506" w14:textId="77777777" w:rsidR="00A30F28" w:rsidRPr="00A30F28" w:rsidRDefault="00000000" w:rsidP="00A30F28">
            <w:pPr>
              <w:jc w:val="center"/>
              <w:rPr>
                <w:rFonts w:ascii="Times New Roman" w:hAnsi="Times New Roman"/>
                <w:sz w:val="26"/>
                <w:szCs w:val="28"/>
              </w:rPr>
            </w:pPr>
            <w:r>
              <w:rPr>
                <w:rFonts w:ascii="Times New Roman" w:hAnsi="Times New Roman"/>
                <w:b/>
                <w:bCs/>
                <w:noProof/>
                <w:sz w:val="26"/>
                <w:szCs w:val="28"/>
              </w:rPr>
              <w:pict w14:anchorId="56167B76">
                <v:line id="_x0000_s1034" style="position:absolute;left:0;text-align:left;z-index:2;mso-position-horizontal-relative:text;mso-position-vertical-relative:text" from="50.2pt,35.25pt" to="230.2pt,35.25pt"/>
              </w:pict>
            </w:r>
            <w:r w:rsidR="00A30F28" w:rsidRPr="00A30F28">
              <w:rPr>
                <w:rFonts w:ascii="Times New Roman" w:hAnsi="Times New Roman"/>
                <w:b/>
                <w:bCs/>
                <w:sz w:val="26"/>
                <w:szCs w:val="28"/>
              </w:rPr>
              <w:t>CỘNG HÒA XÃ HỘI CHỦ NGHĨA VIỆT NAM</w:t>
            </w:r>
            <w:r w:rsidR="00A30F28" w:rsidRPr="00A30F28">
              <w:rPr>
                <w:rFonts w:ascii="Times New Roman" w:hAnsi="Times New Roman"/>
                <w:b/>
                <w:bCs/>
                <w:sz w:val="26"/>
                <w:szCs w:val="28"/>
              </w:rPr>
              <w:br/>
            </w:r>
            <w:r w:rsidR="00A30F28" w:rsidRPr="00A30F28">
              <w:rPr>
                <w:rFonts w:ascii="Times New Roman" w:hAnsi="Times New Roman"/>
                <w:b/>
                <w:bCs/>
                <w:sz w:val="28"/>
                <w:szCs w:val="28"/>
              </w:rPr>
              <w:t>Độc lập – Tự do – Hạnh phúc</w:t>
            </w:r>
            <w:r w:rsidR="00A30F28" w:rsidRPr="00A30F28">
              <w:rPr>
                <w:rFonts w:ascii="Times New Roman" w:hAnsi="Times New Roman"/>
                <w:b/>
                <w:bCs/>
                <w:sz w:val="28"/>
                <w:szCs w:val="28"/>
              </w:rPr>
              <w:br/>
            </w:r>
          </w:p>
        </w:tc>
      </w:tr>
      <w:tr w:rsidR="00A30F28" w:rsidRPr="00A30F28" w14:paraId="6F7C07F6" w14:textId="77777777">
        <w:trPr>
          <w:trHeight w:val="293"/>
        </w:trPr>
        <w:tc>
          <w:tcPr>
            <w:tcW w:w="3556" w:type="dxa"/>
            <w:tcMar>
              <w:top w:w="0" w:type="dxa"/>
              <w:left w:w="108" w:type="dxa"/>
              <w:bottom w:w="0" w:type="dxa"/>
              <w:right w:w="108" w:type="dxa"/>
            </w:tcMar>
          </w:tcPr>
          <w:p w14:paraId="0295E625" w14:textId="77777777" w:rsidR="00A30F28" w:rsidRPr="00A30F28" w:rsidRDefault="00A30F28" w:rsidP="00A30F28">
            <w:pPr>
              <w:jc w:val="center"/>
              <w:rPr>
                <w:rFonts w:ascii="Times New Roman" w:hAnsi="Times New Roman"/>
                <w:sz w:val="26"/>
                <w:szCs w:val="28"/>
              </w:rPr>
            </w:pPr>
            <w:r w:rsidRPr="00A30F28">
              <w:rPr>
                <w:rFonts w:ascii="Times New Roman" w:hAnsi="Times New Roman"/>
                <w:sz w:val="26"/>
                <w:szCs w:val="28"/>
              </w:rPr>
              <w:t>Số: 67/2009/NĐ-CP</w:t>
            </w:r>
          </w:p>
        </w:tc>
        <w:tc>
          <w:tcPr>
            <w:tcW w:w="5810" w:type="dxa"/>
            <w:tcMar>
              <w:top w:w="0" w:type="dxa"/>
              <w:left w:w="108" w:type="dxa"/>
              <w:bottom w:w="0" w:type="dxa"/>
              <w:right w:w="108" w:type="dxa"/>
            </w:tcMar>
          </w:tcPr>
          <w:p w14:paraId="4BAAB8B0" w14:textId="77777777" w:rsidR="00A30F28" w:rsidRPr="00A30F28" w:rsidRDefault="00A30F28" w:rsidP="00A30F28">
            <w:pPr>
              <w:jc w:val="right"/>
              <w:rPr>
                <w:rFonts w:ascii="Times New Roman" w:hAnsi="Times New Roman"/>
                <w:sz w:val="26"/>
                <w:szCs w:val="28"/>
              </w:rPr>
            </w:pPr>
            <w:r w:rsidRPr="00A30F28">
              <w:rPr>
                <w:rFonts w:ascii="Times New Roman" w:hAnsi="Times New Roman"/>
                <w:i/>
                <w:iCs/>
                <w:sz w:val="26"/>
                <w:szCs w:val="28"/>
              </w:rPr>
              <w:t>Hà Nội, ngày 03 tháng 08 năm 2009</w:t>
            </w:r>
          </w:p>
        </w:tc>
      </w:tr>
    </w:tbl>
    <w:p w14:paraId="044A58EA" w14:textId="77777777" w:rsidR="00A30F28" w:rsidRPr="00A30F28" w:rsidRDefault="00A30F28" w:rsidP="00A30F28">
      <w:pPr>
        <w:jc w:val="center"/>
        <w:rPr>
          <w:rFonts w:ascii="Times New Roman" w:hAnsi="Times New Roman"/>
          <w:sz w:val="28"/>
          <w:szCs w:val="28"/>
        </w:rPr>
      </w:pPr>
    </w:p>
    <w:p w14:paraId="3341B5E4" w14:textId="77777777" w:rsidR="00A30F28" w:rsidRPr="00A30F28" w:rsidRDefault="00A30F28" w:rsidP="00A30F28">
      <w:pPr>
        <w:jc w:val="center"/>
        <w:rPr>
          <w:rFonts w:ascii="Times New Roman" w:hAnsi="Times New Roman"/>
          <w:sz w:val="28"/>
          <w:szCs w:val="28"/>
        </w:rPr>
      </w:pPr>
      <w:r w:rsidRPr="00A30F28">
        <w:rPr>
          <w:rFonts w:ascii="Times New Roman" w:hAnsi="Times New Roman"/>
          <w:b/>
          <w:bCs/>
          <w:sz w:val="28"/>
          <w:szCs w:val="28"/>
        </w:rPr>
        <w:t>NGHỊ ĐỊNH</w:t>
      </w:r>
    </w:p>
    <w:p w14:paraId="7AEBBE19" w14:textId="77777777" w:rsidR="00A30F28" w:rsidRDefault="00A30F28" w:rsidP="00A30F28">
      <w:pPr>
        <w:jc w:val="center"/>
        <w:rPr>
          <w:rFonts w:ascii="Times New Roman" w:hAnsi="Times New Roman"/>
          <w:b/>
          <w:sz w:val="28"/>
          <w:szCs w:val="28"/>
        </w:rPr>
      </w:pPr>
      <w:r w:rsidRPr="00A30F28">
        <w:rPr>
          <w:rFonts w:ascii="Times New Roman" w:hAnsi="Times New Roman"/>
          <w:b/>
          <w:sz w:val="28"/>
          <w:szCs w:val="28"/>
        </w:rPr>
        <w:t>Sửa đổi một số điều của Nghị định số 127/2007/NĐ-CP ngày 01 tháng 8 năm 2007 của Chính phủ quy định chi tiết thi hành một số điều của Luật Tiêu chuẩn và Quy chuẩn kỹ thuật và Nghị định số 132/2008/NĐ-CP ngày 31 tháng 12 năm 2008 của Chính phủ quy định chi tiết thi hành một số điều của Luật Chất lượng sản phẩm, hàng hóa</w:t>
      </w:r>
    </w:p>
    <w:p w14:paraId="40E8AFDB" w14:textId="77777777" w:rsidR="00A30F28" w:rsidRPr="00A30F28" w:rsidRDefault="00000000" w:rsidP="00A30F28">
      <w:pPr>
        <w:jc w:val="center"/>
        <w:rPr>
          <w:rFonts w:ascii="Times New Roman" w:hAnsi="Times New Roman"/>
          <w:b/>
          <w:sz w:val="28"/>
          <w:szCs w:val="28"/>
        </w:rPr>
      </w:pPr>
      <w:r>
        <w:rPr>
          <w:rFonts w:ascii="Times New Roman" w:hAnsi="Times New Roman"/>
          <w:b/>
          <w:bCs/>
          <w:noProof/>
          <w:sz w:val="28"/>
          <w:szCs w:val="28"/>
        </w:rPr>
        <w:pict w14:anchorId="378B3A54">
          <v:line id="_x0000_s1037" style="position:absolute;left:0;text-align:left;z-index:3" from="174pt,6.35pt" to="276pt,6.35pt"/>
        </w:pict>
      </w:r>
    </w:p>
    <w:p w14:paraId="39AF3841" w14:textId="77777777" w:rsidR="00A30F28" w:rsidRPr="00A30F28" w:rsidRDefault="00A30F28" w:rsidP="00A30F28">
      <w:pPr>
        <w:jc w:val="center"/>
        <w:rPr>
          <w:rFonts w:ascii="Times New Roman" w:hAnsi="Times New Roman"/>
          <w:sz w:val="28"/>
          <w:szCs w:val="28"/>
        </w:rPr>
      </w:pPr>
      <w:r w:rsidRPr="00A30F28">
        <w:rPr>
          <w:rFonts w:ascii="Times New Roman" w:hAnsi="Times New Roman"/>
          <w:b/>
          <w:bCs/>
          <w:sz w:val="28"/>
          <w:szCs w:val="28"/>
        </w:rPr>
        <w:t>CHÍNH PHỦ</w:t>
      </w:r>
    </w:p>
    <w:p w14:paraId="120DEB56" w14:textId="77777777" w:rsidR="00A30F28" w:rsidRDefault="00A30F28" w:rsidP="00A30F28">
      <w:pPr>
        <w:spacing w:before="120" w:after="120" w:line="320" w:lineRule="exact"/>
        <w:ind w:firstLine="567"/>
        <w:jc w:val="both"/>
        <w:rPr>
          <w:rFonts w:ascii="Times New Roman" w:hAnsi="Times New Roman"/>
          <w:iCs/>
          <w:sz w:val="28"/>
          <w:szCs w:val="28"/>
        </w:rPr>
      </w:pPr>
      <w:r w:rsidRPr="00A30F28">
        <w:rPr>
          <w:rFonts w:ascii="Times New Roman" w:hAnsi="Times New Roman"/>
          <w:iCs/>
          <w:sz w:val="28"/>
          <w:szCs w:val="28"/>
        </w:rPr>
        <w:t xml:space="preserve">Căn cứ Luật Tổ chức Chính phủ ngày 25 tháng 12 năm </w:t>
      </w:r>
      <w:proofErr w:type="gramStart"/>
      <w:r w:rsidRPr="00A30F28">
        <w:rPr>
          <w:rFonts w:ascii="Times New Roman" w:hAnsi="Times New Roman"/>
          <w:iCs/>
          <w:sz w:val="28"/>
          <w:szCs w:val="28"/>
        </w:rPr>
        <w:t>2001;</w:t>
      </w:r>
      <w:proofErr w:type="gramEnd"/>
    </w:p>
    <w:p w14:paraId="3B09EDED" w14:textId="77777777" w:rsidR="00A30F28" w:rsidRDefault="00A30F28" w:rsidP="00A30F28">
      <w:pPr>
        <w:spacing w:before="120" w:after="120" w:line="320" w:lineRule="exact"/>
        <w:ind w:firstLine="567"/>
        <w:jc w:val="both"/>
        <w:rPr>
          <w:rFonts w:ascii="Times New Roman" w:hAnsi="Times New Roman"/>
          <w:iCs/>
          <w:sz w:val="28"/>
          <w:szCs w:val="28"/>
        </w:rPr>
      </w:pPr>
      <w:r w:rsidRPr="00A30F28">
        <w:rPr>
          <w:rFonts w:ascii="Times New Roman" w:hAnsi="Times New Roman"/>
          <w:iCs/>
          <w:sz w:val="28"/>
          <w:szCs w:val="28"/>
        </w:rPr>
        <w:t xml:space="preserve">Căn cứ Luật Tiêu chuẩn và Quy chuẩn kỹ thuật ngày 29 tháng 6 năm </w:t>
      </w:r>
      <w:proofErr w:type="gramStart"/>
      <w:r w:rsidRPr="00A30F28">
        <w:rPr>
          <w:rFonts w:ascii="Times New Roman" w:hAnsi="Times New Roman"/>
          <w:iCs/>
          <w:sz w:val="28"/>
          <w:szCs w:val="28"/>
        </w:rPr>
        <w:t>2006;</w:t>
      </w:r>
      <w:proofErr w:type="gramEnd"/>
    </w:p>
    <w:p w14:paraId="06F972F8" w14:textId="77777777" w:rsidR="00A30F28" w:rsidRDefault="00A30F28" w:rsidP="00A30F28">
      <w:pPr>
        <w:spacing w:before="120" w:after="120" w:line="320" w:lineRule="exact"/>
        <w:ind w:firstLine="567"/>
        <w:jc w:val="both"/>
        <w:rPr>
          <w:rFonts w:ascii="Times New Roman" w:hAnsi="Times New Roman"/>
          <w:iCs/>
          <w:sz w:val="28"/>
          <w:szCs w:val="28"/>
        </w:rPr>
      </w:pPr>
      <w:r w:rsidRPr="00A30F28">
        <w:rPr>
          <w:rFonts w:ascii="Times New Roman" w:hAnsi="Times New Roman"/>
          <w:iCs/>
          <w:sz w:val="28"/>
          <w:szCs w:val="28"/>
        </w:rPr>
        <w:t xml:space="preserve">Căn cứ Luật Chất lượng sản phẩm, hàng hóa ngày 21 tháng 11 năm </w:t>
      </w:r>
      <w:proofErr w:type="gramStart"/>
      <w:r w:rsidRPr="00A30F28">
        <w:rPr>
          <w:rFonts w:ascii="Times New Roman" w:hAnsi="Times New Roman"/>
          <w:iCs/>
          <w:sz w:val="28"/>
          <w:szCs w:val="28"/>
        </w:rPr>
        <w:t>2007;</w:t>
      </w:r>
      <w:proofErr w:type="gramEnd"/>
    </w:p>
    <w:p w14:paraId="2ABC4DB7"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iCs/>
          <w:sz w:val="28"/>
          <w:szCs w:val="28"/>
        </w:rPr>
        <w:t>Xét đề nghị của Bộ trưởng Bộ Khoa học và Công nghệ,</w:t>
      </w:r>
    </w:p>
    <w:p w14:paraId="14FE331C" w14:textId="77777777" w:rsidR="00A30F28" w:rsidRPr="00A30F28" w:rsidRDefault="00A30F28" w:rsidP="00A30F28">
      <w:pPr>
        <w:spacing w:before="120" w:after="120" w:line="320" w:lineRule="exact"/>
        <w:ind w:firstLine="567"/>
        <w:jc w:val="center"/>
        <w:rPr>
          <w:rFonts w:ascii="Times New Roman" w:hAnsi="Times New Roman"/>
          <w:sz w:val="28"/>
          <w:szCs w:val="28"/>
        </w:rPr>
      </w:pPr>
      <w:r w:rsidRPr="00A30F28">
        <w:rPr>
          <w:rFonts w:ascii="Times New Roman" w:hAnsi="Times New Roman"/>
          <w:b/>
          <w:bCs/>
          <w:sz w:val="28"/>
          <w:szCs w:val="28"/>
        </w:rPr>
        <w:t>NGHỊ ĐỊNH:</w:t>
      </w:r>
    </w:p>
    <w:p w14:paraId="76FB738A"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b/>
          <w:bCs/>
          <w:sz w:val="28"/>
          <w:szCs w:val="28"/>
        </w:rPr>
        <w:t>Điều 1.</w:t>
      </w:r>
      <w:r w:rsidRPr="00A30F28">
        <w:rPr>
          <w:rFonts w:ascii="Times New Roman" w:hAnsi="Times New Roman"/>
          <w:sz w:val="28"/>
          <w:szCs w:val="28"/>
        </w:rPr>
        <w:t xml:space="preserve"> Sửa đổi một số điều của Nghị định số 127/2007/NĐ-CP ngày 01 tháng 8 năm 2007 của Chính phủ quy định chi tiết thi hành một số điều của Luật Tiêu chuẩn và Quy chuẩn kỹ thuật như sau:</w:t>
      </w:r>
    </w:p>
    <w:p w14:paraId="278C6215"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 xml:space="preserve">1. Sửa đổi khoản 2 Điều 7 </w:t>
      </w:r>
    </w:p>
    <w:p w14:paraId="4F9B774D"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a) Đoạn hai điểm a được sửa đổi như sau:</w:t>
      </w:r>
    </w:p>
    <w:p w14:paraId="1A3C9D3E"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“Việc chuyển đổi các tiêu chuẩn ngành thành tiêu chuẩn quốc gia phải hoàn thành trước ngày 31 tháng 12 năm 2011”.</w:t>
      </w:r>
    </w:p>
    <w:p w14:paraId="226905F4"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b) Đoạn hai điểm b được sửa đổi như sau:</w:t>
      </w:r>
    </w:p>
    <w:p w14:paraId="32161E7C"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“Việc xem xét, sửa đổi, bổ sung nội dung và chuyển đổi các tiêu chuẩn ngành thành tiêu chuẩn quốc gia phải hoàn thành trước ngày 31 tháng 12 năm 2011.”</w:t>
      </w:r>
    </w:p>
    <w:p w14:paraId="159C4168"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 xml:space="preserve">2. Sửa đổi khoản 2 Điều 11 </w:t>
      </w:r>
    </w:p>
    <w:p w14:paraId="2685FBC3"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a) Đoạn hai điểm a được sửa đổi như sau:</w:t>
      </w:r>
    </w:p>
    <w:p w14:paraId="7D183E87"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“Việc chuyển đổi các tiêu chuẩn Việt Nam, tiêu chuẩn ngành bắt buộc áp dụng thành quy chuẩn kỹ thuật quốc gia phải hoàn thành trước ngày 31 tháng 12 năm 2011.”</w:t>
      </w:r>
    </w:p>
    <w:p w14:paraId="2623C751"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b) Đoạn hai điểm b được sửa đổi như sau:</w:t>
      </w:r>
    </w:p>
    <w:p w14:paraId="45A23515"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“Việc xem xét, sửa đổi, bổ sung nội dung và chuyển đổi các tiêu chuẩn Việt Nam, tiêu chuẩn ngành bắt buộc áp dụng thành quy chuẩn kỹ thuật quốc gia phải hoàn thành trước ngày 31 tháng 12 năm 2011.”</w:t>
      </w:r>
    </w:p>
    <w:p w14:paraId="7ADB4B7B"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 xml:space="preserve">3. Sửa đổi khoản 2 Điều 12 </w:t>
      </w:r>
    </w:p>
    <w:p w14:paraId="49EB9A41"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lastRenderedPageBreak/>
        <w:t>a) Đoạn hai điểm a được sửa đổi như sau:</w:t>
      </w:r>
    </w:p>
    <w:p w14:paraId="6E899118"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“Việc chuyển đổi các quy định kỹ thuật, quy trình, quy phạm, quy chuẩn và các tài liệu kỹ thuật bắt buộc áp dụng thành quy chuẩn kỹ thuật quốc gia phải hoàn thành trước ngày 31 tháng 12 năm 2011”.</w:t>
      </w:r>
    </w:p>
    <w:p w14:paraId="2E902B9F"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b) Đoạn hai điểm b được sửa đổi như sau:</w:t>
      </w:r>
    </w:p>
    <w:p w14:paraId="6BE64DCC"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“Việc xem xét, sửa đổi, bổ sung nội dung và chuyển đổi các quy định kỹ thuật, quy trình, quy phạm, quy chuẩn và các tài liệu kỹ thuật bắt buộc áp dụng thành quy chuẩn kỹ thuật quốc gia hoàn thành trước ngày 31 tháng 12 năm 2011”.</w:t>
      </w:r>
    </w:p>
    <w:p w14:paraId="7D437F8B"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b/>
          <w:bCs/>
          <w:sz w:val="28"/>
          <w:szCs w:val="28"/>
        </w:rPr>
        <w:t>Điều 2.</w:t>
      </w:r>
      <w:r w:rsidRPr="00A30F28">
        <w:rPr>
          <w:rFonts w:ascii="Times New Roman" w:hAnsi="Times New Roman"/>
          <w:sz w:val="28"/>
          <w:szCs w:val="28"/>
        </w:rPr>
        <w:t xml:space="preserve"> Sửa đổi khoản 1 Điều 35 Nghị định số 132/2008/NĐ-CP ngày 31 tháng 12 năm 2008 của Chính phủ quy định chi tiết thi hành một số điều của Luật Chất lượng sản phẩm, hàng hóa như sau:</w:t>
      </w:r>
    </w:p>
    <w:p w14:paraId="21810231"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“1. Tiêu chuẩn Việt Nam, tiêu chuẩn ngành và quy định kỹ thuật, quy trình, quy phạm, quy chuẩn, tài liệu kỹ thuật bắt buộc áp dụng phải chuyển đổi thành quy chuẩn kỹ thuật quốc gia theo quy định của pháp luật về tiêu chuẩn và quy chuẩn kỹ thuật được tiếp tục sử dụng để quản lý chất lượng sản phẩm, hàng hóa cho đến khi các văn bản này được chuyển đổi thành quy chuẩn kỹ thuật quốc gia.”</w:t>
      </w:r>
    </w:p>
    <w:p w14:paraId="6D3DCDAB"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b/>
          <w:bCs/>
          <w:sz w:val="28"/>
          <w:szCs w:val="28"/>
        </w:rPr>
        <w:t>Điều 3.</w:t>
      </w:r>
      <w:r w:rsidRPr="00A30F28">
        <w:rPr>
          <w:rFonts w:ascii="Times New Roman" w:hAnsi="Times New Roman"/>
          <w:sz w:val="28"/>
          <w:szCs w:val="28"/>
        </w:rPr>
        <w:t xml:space="preserve"> Hiệu lực thi hành</w:t>
      </w:r>
    </w:p>
    <w:p w14:paraId="7707F7FA"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1. Nghị định này có hiệu lực thi hành kể từ ngày 22 tháng 9 năm 2009.</w:t>
      </w:r>
    </w:p>
    <w:p w14:paraId="07C13087" w14:textId="6F4D4C03"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2. Các Bộ trưởng, Thủ trưởng cơ quan ngang Bộ, Thủ trưởng cơ quan thuộc Chính phủ, Chủ tịch Ủy ban nhân dân các tỉnh, thành phố trực thuộc Trung ương chịu trách nhiệm thi hành Nghị định này.</w:t>
      </w:r>
    </w:p>
    <w:p w14:paraId="196F6484"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 </w:t>
      </w:r>
    </w:p>
    <w:tbl>
      <w:tblPr>
        <w:tblW w:w="4788" w:type="dxa"/>
        <w:jc w:val="center"/>
        <w:tblCellMar>
          <w:left w:w="0" w:type="dxa"/>
          <w:right w:w="0" w:type="dxa"/>
        </w:tblCellMar>
        <w:tblLook w:val="0000" w:firstRow="0" w:lastRow="0" w:firstColumn="0" w:lastColumn="0" w:noHBand="0" w:noVBand="0"/>
      </w:tblPr>
      <w:tblGrid>
        <w:gridCol w:w="4788"/>
      </w:tblGrid>
      <w:tr w:rsidR="004C1F0C" w:rsidRPr="00A30F28" w14:paraId="02AA0C6C" w14:textId="77777777" w:rsidTr="004C1F0C">
        <w:trPr>
          <w:trHeight w:val="68"/>
          <w:jc w:val="center"/>
        </w:trPr>
        <w:tc>
          <w:tcPr>
            <w:tcW w:w="4788" w:type="dxa"/>
            <w:tcMar>
              <w:top w:w="0" w:type="dxa"/>
              <w:left w:w="108" w:type="dxa"/>
              <w:bottom w:w="0" w:type="dxa"/>
              <w:right w:w="108" w:type="dxa"/>
            </w:tcMar>
          </w:tcPr>
          <w:p w14:paraId="616FDBA4" w14:textId="77777777" w:rsidR="004C1F0C" w:rsidRPr="00A30F28" w:rsidRDefault="004C1F0C" w:rsidP="00A30F28">
            <w:pPr>
              <w:jc w:val="both"/>
              <w:rPr>
                <w:rFonts w:ascii="Times New Roman" w:hAnsi="Times New Roman"/>
                <w:sz w:val="28"/>
                <w:szCs w:val="28"/>
              </w:rPr>
            </w:pPr>
          </w:p>
        </w:tc>
      </w:tr>
    </w:tbl>
    <w:p w14:paraId="50AB49CC" w14:textId="77777777" w:rsidR="00A30F28" w:rsidRPr="00A30F28" w:rsidRDefault="00A30F28" w:rsidP="00A30F28">
      <w:pPr>
        <w:spacing w:before="120" w:after="120" w:line="320" w:lineRule="exact"/>
        <w:ind w:firstLine="567"/>
        <w:jc w:val="both"/>
        <w:rPr>
          <w:rFonts w:ascii="Times New Roman" w:hAnsi="Times New Roman"/>
          <w:sz w:val="28"/>
          <w:szCs w:val="28"/>
        </w:rPr>
      </w:pPr>
      <w:r w:rsidRPr="00A30F28">
        <w:rPr>
          <w:rFonts w:ascii="Times New Roman" w:hAnsi="Times New Roman"/>
          <w:sz w:val="28"/>
          <w:szCs w:val="28"/>
        </w:rPr>
        <w:t> </w:t>
      </w:r>
    </w:p>
    <w:p w14:paraId="563B0AA6" w14:textId="77777777" w:rsidR="00316B40" w:rsidRPr="00A30F28" w:rsidRDefault="00316B40" w:rsidP="00A30F28">
      <w:pPr>
        <w:spacing w:before="120" w:after="120" w:line="320" w:lineRule="exact"/>
        <w:ind w:firstLine="567"/>
        <w:jc w:val="both"/>
        <w:rPr>
          <w:rFonts w:ascii="Times New Roman" w:hAnsi="Times New Roman"/>
          <w:sz w:val="28"/>
          <w:szCs w:val="28"/>
        </w:rPr>
      </w:pPr>
    </w:p>
    <w:sectPr w:rsidR="00316B40" w:rsidRPr="00A30F28" w:rsidSect="00A30F28">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1717"/>
    <w:rsid w:val="0001361C"/>
    <w:rsid w:val="0004615D"/>
    <w:rsid w:val="0006568B"/>
    <w:rsid w:val="00083897"/>
    <w:rsid w:val="00196175"/>
    <w:rsid w:val="001B52BE"/>
    <w:rsid w:val="001F78A3"/>
    <w:rsid w:val="00270AA9"/>
    <w:rsid w:val="002F0B59"/>
    <w:rsid w:val="00302E36"/>
    <w:rsid w:val="00302F6F"/>
    <w:rsid w:val="00316B40"/>
    <w:rsid w:val="00321717"/>
    <w:rsid w:val="003368B3"/>
    <w:rsid w:val="00382542"/>
    <w:rsid w:val="003B782B"/>
    <w:rsid w:val="003B7BD5"/>
    <w:rsid w:val="0043503C"/>
    <w:rsid w:val="004414B0"/>
    <w:rsid w:val="00443514"/>
    <w:rsid w:val="004C1F0C"/>
    <w:rsid w:val="00544281"/>
    <w:rsid w:val="00553E98"/>
    <w:rsid w:val="006C1A8C"/>
    <w:rsid w:val="007153BF"/>
    <w:rsid w:val="007200F3"/>
    <w:rsid w:val="00757EBE"/>
    <w:rsid w:val="00766C24"/>
    <w:rsid w:val="007B4828"/>
    <w:rsid w:val="007B7F6C"/>
    <w:rsid w:val="00827972"/>
    <w:rsid w:val="008C1ED9"/>
    <w:rsid w:val="008F3AA7"/>
    <w:rsid w:val="00914F44"/>
    <w:rsid w:val="00917C2B"/>
    <w:rsid w:val="00925259"/>
    <w:rsid w:val="009569E2"/>
    <w:rsid w:val="00995BF3"/>
    <w:rsid w:val="009F26D0"/>
    <w:rsid w:val="00A30F28"/>
    <w:rsid w:val="00A60087"/>
    <w:rsid w:val="00A72B6B"/>
    <w:rsid w:val="00A7307D"/>
    <w:rsid w:val="00A827FF"/>
    <w:rsid w:val="00A8570D"/>
    <w:rsid w:val="00AB126F"/>
    <w:rsid w:val="00AC2890"/>
    <w:rsid w:val="00AE58FA"/>
    <w:rsid w:val="00B4368B"/>
    <w:rsid w:val="00B70317"/>
    <w:rsid w:val="00BF6D17"/>
    <w:rsid w:val="00C13809"/>
    <w:rsid w:val="00C97525"/>
    <w:rsid w:val="00D04C4A"/>
    <w:rsid w:val="00D247E2"/>
    <w:rsid w:val="00DA1132"/>
    <w:rsid w:val="00DC4A29"/>
    <w:rsid w:val="00DD3F06"/>
    <w:rsid w:val="00F0337E"/>
    <w:rsid w:val="00F251E3"/>
    <w:rsid w:val="00F512D0"/>
    <w:rsid w:val="00FA3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8"/>
    <o:shapelayout v:ext="edit">
      <o:idmap v:ext="edit" data="1"/>
    </o:shapelayout>
  </w:shapeDefaults>
  <w:decimalSymbol w:val="."/>
  <w:listSeparator w:val=","/>
  <w14:docId w14:val="0908B13C"/>
  <w15:chartTrackingRefBased/>
  <w15:docId w15:val="{2D1D0AAD-2F0E-4BB2-9B89-5C987144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1717"/>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ParaCharCharCharCharChar">
    <w:name w:val="Default Paragraph Font Para Char Char Char Char Char"/>
    <w:autoRedefine/>
    <w:rsid w:val="00321717"/>
    <w:pPr>
      <w:tabs>
        <w:tab w:val="left" w:pos="1152"/>
      </w:tabs>
      <w:spacing w:before="120" w:after="120" w:line="312" w:lineRule="auto"/>
    </w:pPr>
    <w:rPr>
      <w:rFonts w:ascii="Arial" w:hAnsi="Arial" w:cs="Arial"/>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CHÍNH PHỦ</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CHÍNH PHỦ</dc:title>
  <dc:subject/>
  <dc:creator>TTTHBTP</dc:creator>
  <cp:keywords/>
  <dc:description/>
  <cp:lastModifiedBy>Ngo Anh Tu 20226005</cp:lastModifiedBy>
  <cp:revision>4</cp:revision>
  <dcterms:created xsi:type="dcterms:W3CDTF">2024-12-23T11:05:00Z</dcterms:created>
  <dcterms:modified xsi:type="dcterms:W3CDTF">2024-12-23T23:22:00Z</dcterms:modified>
</cp:coreProperties>
</file>