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Montserrat" w:hAnsi="Montserrat" w:eastAsia="Montserrat"/>
          <w:b/>
          <w:sz w:val="32"/>
        </w:rPr>
        <w:t>Опросники и шкалы оценок · ЦЛП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312"/>
          </w:tcPr>
          <w:p>
            <w:pPr>
              <w:jc w:val="left"/>
            </w:pPr>
            <w:r>
              <w:rPr>
                <w:rFonts w:ascii="Montserrat" w:hAnsi="Montserrat" w:eastAsia="Montserrat"/>
                <w:b/>
                <w:color w:val="019BAB"/>
                <w:sz w:val="22"/>
              </w:rPr>
              <w:t>Методика</w:t>
            </w:r>
          </w:p>
        </w:tc>
        <w:tc>
          <w:tcPr>
            <w:tcW w:type="dxa" w:w="3312"/>
          </w:tcPr>
          <w:p>
            <w:pPr>
              <w:jc w:val="left"/>
            </w:pPr>
            <w:r>
              <w:rPr>
                <w:rFonts w:ascii="Montserrat" w:hAnsi="Montserrat" w:eastAsia="Montserrat"/>
                <w:b/>
                <w:color w:val="019BAB"/>
                <w:sz w:val="22"/>
              </w:rPr>
              <w:t>На что направлена</w:t>
            </w:r>
          </w:p>
        </w:tc>
        <w:tc>
          <w:tcPr>
            <w:tcW w:type="dxa" w:w="3312"/>
          </w:tcPr>
          <w:p>
            <w:pPr>
              <w:jc w:val="left"/>
            </w:pPr>
            <w:r>
              <w:rPr>
                <w:rFonts w:ascii="Montserrat" w:hAnsi="Montserrat" w:eastAsia="Montserrat"/>
                <w:b/>
                <w:color w:val="019BAB"/>
                <w:sz w:val="22"/>
              </w:rPr>
              <w:t>Кто уже пользовался</w:t>
            </w:r>
          </w:p>
        </w:tc>
      </w:tr>
      <w:tr>
        <w:tc>
          <w:tcPr>
            <w:tcW w:type="dxa" w:w="3408"/>
          </w:tcPr>
          <w:p>
            <w:pPr>
              <w:jc w:val="left"/>
            </w:pPr>
            <w:r>
              <w:rPr>
                <w:rFonts w:ascii="Montserrat" w:hAnsi="Montserrat" w:eastAsia="Montserrat"/>
                <w:b/>
                <w:sz w:val="22"/>
              </w:rPr>
              <w:t>COPM — канадская система оценки деятельности</w:t>
            </w:r>
          </w:p>
        </w:tc>
        <w:tc>
          <w:tcPr>
            <w:tcW w:type="dxa" w:w="3408"/>
          </w:tcPr>
          <w:p>
            <w:pPr>
              <w:jc w:val="left"/>
            </w:pPr>
            <w:r>
              <w:rPr>
                <w:rFonts w:ascii="Montserrat" w:hAnsi="Montserrat" w:eastAsia="Montserrat"/>
                <w:b w:val="0"/>
                <w:sz w:val="22"/>
              </w:rPr>
              <w:t>—</w:t>
            </w:r>
          </w:p>
        </w:tc>
        <w:tc>
          <w:tcPr>
            <w:tcW w:type="dxa" w:w="3408"/>
          </w:tcPr>
          <w:p>
            <w:pPr>
              <w:jc w:val="left"/>
            </w:pPr>
            <w:r>
              <w:rPr>
                <w:rFonts w:ascii="Montserrat" w:hAnsi="Montserrat" w:eastAsia="Montserrat"/>
                <w:b w:val="0"/>
                <w:sz w:val="22"/>
              </w:rPr>
              <w:t>М. Николаева, О. Бояршинова</w:t>
            </w:r>
          </w:p>
        </w:tc>
      </w:tr>
      <w:tr>
        <w:tc>
          <w:tcPr>
            <w:tcW w:type="dxa" w:w="3408"/>
          </w:tcPr>
          <w:p>
            <w:pPr>
              <w:jc w:val="left"/>
            </w:pPr>
            <w:r>
              <w:rPr>
                <w:rFonts w:ascii="Montserrat" w:hAnsi="Montserrat" w:eastAsia="Montserrat"/>
                <w:b/>
                <w:sz w:val="22"/>
              </w:rPr>
              <w:t>Матрица коммуникации</w:t>
            </w:r>
          </w:p>
        </w:tc>
        <w:tc>
          <w:tcPr>
            <w:tcW w:type="dxa" w:w="3408"/>
          </w:tcPr>
          <w:p>
            <w:pPr>
              <w:jc w:val="left"/>
            </w:pPr>
            <w:r>
              <w:rPr>
                <w:rFonts w:ascii="Montserrat" w:hAnsi="Montserrat" w:eastAsia="Montserrat"/>
                <w:b w:val="0"/>
                <w:sz w:val="22"/>
              </w:rPr>
              <w:t>Коммуникативные возможности ребёнка</w:t>
            </w:r>
          </w:p>
        </w:tc>
        <w:tc>
          <w:tcPr>
            <w:tcW w:type="dxa" w:w="3408"/>
          </w:tcPr>
          <w:p>
            <w:pPr>
              <w:jc w:val="left"/>
            </w:pPr>
            <w:r>
              <w:rPr>
                <w:rFonts w:ascii="Montserrat" w:hAnsi="Montserrat" w:eastAsia="Montserrat"/>
                <w:b w:val="0"/>
                <w:sz w:val="22"/>
              </w:rPr>
              <w:t>О. Караневская, О. Бояршинова</w:t>
            </w:r>
          </w:p>
        </w:tc>
      </w:tr>
      <w:tr>
        <w:tc>
          <w:tcPr>
            <w:tcW w:type="dxa" w:w="3408"/>
          </w:tcPr>
          <w:p>
            <w:pPr>
              <w:jc w:val="left"/>
            </w:pPr>
            <w:r>
              <w:rPr>
                <w:rFonts w:ascii="Montserrat" w:hAnsi="Montserrat" w:eastAsia="Montserrat"/>
                <w:b/>
                <w:sz w:val="22"/>
              </w:rPr>
              <w:t>Дорожная карта</w:t>
            </w:r>
          </w:p>
        </w:tc>
        <w:tc>
          <w:tcPr>
            <w:tcW w:type="dxa" w:w="3408"/>
          </w:tcPr>
          <w:p>
            <w:pPr>
              <w:jc w:val="left"/>
            </w:pPr>
            <w:r>
              <w:rPr>
                <w:rFonts w:ascii="Montserrat" w:hAnsi="Montserrat" w:eastAsia="Montserrat"/>
                <w:b w:val="0"/>
                <w:sz w:val="22"/>
              </w:rPr>
              <w:t>Коммуникативные возможности ребёнка</w:t>
            </w:r>
          </w:p>
        </w:tc>
        <w:tc>
          <w:tcPr>
            <w:tcW w:type="dxa" w:w="3408"/>
          </w:tcPr>
          <w:p>
            <w:pPr>
              <w:jc w:val="left"/>
            </w:pPr>
            <w:r>
              <w:rPr>
                <w:rFonts w:ascii="Montserrat" w:hAnsi="Montserrat" w:eastAsia="Montserrat"/>
                <w:b w:val="0"/>
                <w:sz w:val="22"/>
              </w:rPr>
              <w:t>М. Яремчук, Е. Вальковская</w:t>
            </w:r>
          </w:p>
        </w:tc>
      </w:tr>
      <w:tr>
        <w:tc>
          <w:tcPr>
            <w:tcW w:type="dxa" w:w="3408"/>
          </w:tcPr>
          <w:p>
            <w:pPr>
              <w:jc w:val="left"/>
            </w:pPr>
            <w:r>
              <w:rPr>
                <w:rFonts w:ascii="Montserrat" w:hAnsi="Montserrat" w:eastAsia="Montserrat"/>
                <w:b/>
                <w:sz w:val="22"/>
              </w:rPr>
              <w:t>Конструктор целей</w:t>
            </w:r>
          </w:p>
        </w:tc>
        <w:tc>
          <w:tcPr>
            <w:tcW w:type="dxa" w:w="3408"/>
          </w:tcPr>
          <w:p>
            <w:pPr>
              <w:jc w:val="left"/>
            </w:pPr>
            <w:r>
              <w:rPr>
                <w:rFonts w:ascii="Montserrat" w:hAnsi="Montserrat" w:eastAsia="Montserrat"/>
                <w:b w:val="0"/>
                <w:sz w:val="22"/>
              </w:rPr>
              <w:t>—</w:t>
            </w:r>
          </w:p>
        </w:tc>
        <w:tc>
          <w:tcPr>
            <w:tcW w:type="dxa" w:w="3408"/>
          </w:tcPr>
          <w:p>
            <w:pPr>
              <w:jc w:val="left"/>
            </w:pPr>
            <w:r>
              <w:rPr>
                <w:rFonts w:ascii="Montserrat" w:hAnsi="Montserrat" w:eastAsia="Montserrat"/>
                <w:b w:val="0"/>
                <w:sz w:val="22"/>
              </w:rPr>
              <w:t>Е. Просветова</w:t>
            </w:r>
          </w:p>
        </w:tc>
      </w:tr>
      <w:tr>
        <w:tc>
          <w:tcPr>
            <w:tcW w:type="dxa" w:w="3408"/>
          </w:tcPr>
          <w:p>
            <w:pPr>
              <w:jc w:val="left"/>
            </w:pPr>
            <w:r>
              <w:rPr>
                <w:rFonts w:ascii="Montserrat" w:hAnsi="Montserrat" w:eastAsia="Montserrat"/>
                <w:b/>
                <w:sz w:val="22"/>
              </w:rPr>
              <w:t>ICAN</w:t>
            </w:r>
          </w:p>
        </w:tc>
        <w:tc>
          <w:tcPr>
            <w:tcW w:type="dxa" w:w="3408"/>
          </w:tcPr>
          <w:p>
            <w:pPr>
              <w:jc w:val="left"/>
            </w:pPr>
            <w:r>
              <w:rPr>
                <w:rFonts w:ascii="Montserrat" w:hAnsi="Montserrat" w:eastAsia="Montserrat"/>
                <w:b w:val="0"/>
                <w:sz w:val="22"/>
              </w:rPr>
              <w:t>Бытовые навыки</w:t>
            </w:r>
          </w:p>
        </w:tc>
        <w:tc>
          <w:tcPr>
            <w:tcW w:type="dxa" w:w="3408"/>
          </w:tcPr>
          <w:p>
            <w:pPr>
              <w:jc w:val="left"/>
            </w:pPr>
            <w:r>
              <w:rPr>
                <w:rFonts w:ascii="Montserrat" w:hAnsi="Montserrat" w:eastAsia="Montserrat"/>
                <w:b w:val="0"/>
                <w:sz w:val="22"/>
              </w:rPr>
              <w:t>Е. Федорова, Н. Мальцева</w:t>
            </w:r>
          </w:p>
        </w:tc>
      </w:tr>
      <w:tr>
        <w:tc>
          <w:tcPr>
            <w:tcW w:type="dxa" w:w="3408"/>
          </w:tcPr>
          <w:p>
            <w:pPr>
              <w:jc w:val="left"/>
            </w:pPr>
            <w:r>
              <w:rPr>
                <w:rFonts w:ascii="Montserrat" w:hAnsi="Montserrat" w:eastAsia="Montserrat"/>
                <w:b/>
                <w:sz w:val="22"/>
              </w:rPr>
              <w:t>Чек-лист готовности к школе</w:t>
            </w:r>
          </w:p>
        </w:tc>
        <w:tc>
          <w:tcPr>
            <w:tcW w:type="dxa" w:w="3408"/>
          </w:tcPr>
          <w:p>
            <w:pPr>
              <w:jc w:val="left"/>
            </w:pPr>
            <w:r>
              <w:rPr>
                <w:rFonts w:ascii="Montserrat" w:hAnsi="Montserrat" w:eastAsia="Montserrat"/>
                <w:b w:val="0"/>
                <w:sz w:val="22"/>
              </w:rPr>
              <w:t>Готовность к обучению в школе</w:t>
            </w:r>
          </w:p>
        </w:tc>
        <w:tc>
          <w:tcPr>
            <w:tcW w:type="dxa" w:w="3408"/>
          </w:tcPr>
          <w:p>
            <w:pPr>
              <w:jc w:val="left"/>
            </w:pPr>
            <w:r>
              <w:rPr>
                <w:rFonts w:ascii="Montserrat" w:hAnsi="Montserrat" w:eastAsia="Montserrat"/>
                <w:b w:val="0"/>
                <w:sz w:val="22"/>
              </w:rPr>
              <w:t>Л. Егорова, Т. Бондарь</w:t>
            </w:r>
          </w:p>
        </w:tc>
      </w:tr>
      <w:tr>
        <w:tc>
          <w:tcPr>
            <w:tcW w:type="dxa" w:w="3408"/>
          </w:tcPr>
          <w:p>
            <w:pPr>
              <w:jc w:val="left"/>
            </w:pPr>
            <w:r>
              <w:rPr>
                <w:rFonts w:ascii="Montserrat" w:hAnsi="Montserrat" w:eastAsia="Montserrat"/>
                <w:b/>
                <w:sz w:val="22"/>
              </w:rPr>
              <w:t>Опросник СДВГ</w:t>
            </w:r>
          </w:p>
        </w:tc>
        <w:tc>
          <w:tcPr>
            <w:tcW w:type="dxa" w:w="3408"/>
          </w:tcPr>
          <w:p>
            <w:pPr>
              <w:jc w:val="left"/>
            </w:pPr>
            <w:r>
              <w:rPr>
                <w:rFonts w:ascii="Montserrat" w:hAnsi="Montserrat" w:eastAsia="Montserrat"/>
                <w:b w:val="0"/>
                <w:sz w:val="22"/>
              </w:rPr>
              <w:t>Проявления СДВГ</w:t>
            </w:r>
          </w:p>
        </w:tc>
        <w:tc>
          <w:tcPr>
            <w:tcW w:type="dxa" w:w="3408"/>
          </w:tcPr>
          <w:p>
            <w:pPr>
              <w:jc w:val="left"/>
            </w:pPr>
            <w:r>
              <w:rPr>
                <w:rFonts w:ascii="Montserrat" w:hAnsi="Montserrat" w:eastAsia="Montserrat"/>
                <w:b w:val="0"/>
                <w:sz w:val="22"/>
              </w:rPr>
              <w:t>Е. Сафронова, Т. Котляренко</w:t>
            </w:r>
          </w:p>
        </w:tc>
      </w:tr>
      <w:tr>
        <w:tc>
          <w:tcPr>
            <w:tcW w:type="dxa" w:w="3408"/>
          </w:tcPr>
          <w:p>
            <w:pPr>
              <w:jc w:val="left"/>
            </w:pPr>
            <w:r>
              <w:rPr>
                <w:rFonts w:ascii="Montserrat" w:hAnsi="Montserrat" w:eastAsia="Montserrat"/>
                <w:b/>
                <w:sz w:val="22"/>
              </w:rPr>
              <w:t>Опросник по сенсорной интеграции</w:t>
            </w:r>
          </w:p>
        </w:tc>
        <w:tc>
          <w:tcPr>
            <w:tcW w:type="dxa" w:w="3408"/>
          </w:tcPr>
          <w:p>
            <w:pPr>
              <w:jc w:val="left"/>
            </w:pPr>
            <w:r>
              <w:rPr>
                <w:rFonts w:ascii="Montserrat" w:hAnsi="Montserrat" w:eastAsia="Montserrat"/>
                <w:b w:val="0"/>
                <w:sz w:val="22"/>
              </w:rPr>
              <w:t>Сенсорный профиль ребёнка</w:t>
            </w:r>
          </w:p>
        </w:tc>
        <w:tc>
          <w:tcPr>
            <w:tcW w:type="dxa" w:w="3408"/>
          </w:tcPr>
          <w:p>
            <w:pPr>
              <w:jc w:val="left"/>
            </w:pPr>
            <w:r>
              <w:rPr>
                <w:rFonts w:ascii="Montserrat" w:hAnsi="Montserrat" w:eastAsia="Montserrat"/>
                <w:b w:val="0"/>
                <w:sz w:val="22"/>
              </w:rPr>
              <w:t>В. Литвинова, О. Семак</w:t>
            </w:r>
          </w:p>
        </w:tc>
      </w:tr>
    </w:tbl>
    <w:sectPr w:rsidR="00FC693F" w:rsidRPr="0006063C" w:rsidSect="00034616">
      <w:pgSz w:w="12240" w:h="15840"/>
      <w:pgMar w:top="1440" w:right="1008" w:bottom="144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