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ontserrat" w:hAnsi="Montserrat"/>
          <w:b/>
          <w:sz w:val="28"/>
        </w:rPr>
        <w:t>Опросники и шкалы оценок · ЦЛП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ontserrat" w:hAnsi="Montserrat"/>
                <w:b/>
                <w:color w:val="019BAB"/>
                <w:sz w:val="22"/>
              </w:rPr>
              <w:t>Методика</w:t>
            </w:r>
          </w:p>
        </w:tc>
        <w:tc>
          <w:tcPr>
            <w:tcW w:type="dxa" w:w="2880"/>
          </w:tcPr>
          <w:p>
            <w:r/>
            <w:r>
              <w:rPr>
                <w:rFonts w:ascii="Montserrat" w:hAnsi="Montserrat"/>
                <w:b/>
                <w:color w:val="019BAB"/>
                <w:sz w:val="22"/>
              </w:rPr>
              <w:t>На что направлена</w:t>
            </w:r>
          </w:p>
        </w:tc>
        <w:tc>
          <w:tcPr>
            <w:tcW w:type="dxa" w:w="2880"/>
          </w:tcPr>
          <w:p>
            <w:r/>
            <w:r>
              <w:rPr>
                <w:rFonts w:ascii="Montserrat" w:hAnsi="Montserrat"/>
                <w:b/>
                <w:color w:val="019BAB"/>
                <w:sz w:val="22"/>
              </w:rPr>
              <w:t>Кто уже пользовался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ontserrat" w:hAnsi="Montserrat"/>
                <w:b/>
                <w:sz w:val="22"/>
              </w:rPr>
              <w:t>COPM — канадская система оценки деятельности</w:t>
            </w:r>
          </w:p>
        </w:tc>
        <w:tc>
          <w:tcPr>
            <w:tcW w:type="dxa" w:w="2880"/>
          </w:tcPr>
          <w:p>
            <w:r/>
            <w:r>
              <w:rPr>
                <w:rFonts w:ascii="Montserrat" w:hAnsi="Montserrat"/>
                <w:sz w:val="22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Montserrat" w:hAnsi="Montserrat"/>
                <w:sz w:val="22"/>
              </w:rPr>
              <w:t>М. Николаева, О. Бояршинова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ontserrat" w:hAnsi="Montserrat"/>
                <w:b/>
                <w:sz w:val="22"/>
              </w:rPr>
              <w:t>Матрица коммуникации</w:t>
            </w:r>
          </w:p>
        </w:tc>
        <w:tc>
          <w:tcPr>
            <w:tcW w:type="dxa" w:w="2880"/>
          </w:tcPr>
          <w:p>
            <w:r/>
            <w:r>
              <w:rPr>
                <w:rFonts w:ascii="Montserrat" w:hAnsi="Montserrat"/>
                <w:sz w:val="22"/>
              </w:rPr>
              <w:t>Коммуникативные возможности ребёнка</w:t>
            </w:r>
          </w:p>
        </w:tc>
        <w:tc>
          <w:tcPr>
            <w:tcW w:type="dxa" w:w="2880"/>
          </w:tcPr>
          <w:p>
            <w:r/>
            <w:r>
              <w:rPr>
                <w:rFonts w:ascii="Montserrat" w:hAnsi="Montserrat"/>
                <w:sz w:val="22"/>
              </w:rPr>
              <w:t>О. Караневская, О. Бояршинова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ontserrat" w:hAnsi="Montserrat"/>
                <w:b/>
                <w:sz w:val="22"/>
              </w:rPr>
              <w:t>Дорожная карта</w:t>
            </w:r>
          </w:p>
        </w:tc>
        <w:tc>
          <w:tcPr>
            <w:tcW w:type="dxa" w:w="2880"/>
          </w:tcPr>
          <w:p>
            <w:r/>
            <w:r>
              <w:rPr>
                <w:rFonts w:ascii="Montserrat" w:hAnsi="Montserrat"/>
                <w:sz w:val="22"/>
              </w:rPr>
              <w:t>Коммуникативные возможности ребёнка</w:t>
            </w:r>
          </w:p>
        </w:tc>
        <w:tc>
          <w:tcPr>
            <w:tcW w:type="dxa" w:w="2880"/>
          </w:tcPr>
          <w:p>
            <w:r/>
            <w:r>
              <w:rPr>
                <w:rFonts w:ascii="Montserrat" w:hAnsi="Montserrat"/>
                <w:sz w:val="22"/>
              </w:rPr>
              <w:t>М. Яремчук, Е. Вальковская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ontserrat" w:hAnsi="Montserrat"/>
                <w:b/>
                <w:sz w:val="22"/>
              </w:rPr>
              <w:t>Конструктор целей</w:t>
            </w:r>
          </w:p>
        </w:tc>
        <w:tc>
          <w:tcPr>
            <w:tcW w:type="dxa" w:w="2880"/>
          </w:tcPr>
          <w:p>
            <w:r/>
            <w:r>
              <w:rPr>
                <w:rFonts w:ascii="Montserrat" w:hAnsi="Montserrat"/>
                <w:sz w:val="22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Montserrat" w:hAnsi="Montserrat"/>
                <w:sz w:val="22"/>
              </w:rPr>
              <w:t>Е. Просветова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ontserrat" w:hAnsi="Montserrat"/>
                <w:b/>
                <w:sz w:val="22"/>
              </w:rPr>
              <w:t>ICAN</w:t>
            </w:r>
          </w:p>
        </w:tc>
        <w:tc>
          <w:tcPr>
            <w:tcW w:type="dxa" w:w="2880"/>
          </w:tcPr>
          <w:p>
            <w:r/>
            <w:r>
              <w:rPr>
                <w:rFonts w:ascii="Montserrat" w:hAnsi="Montserrat"/>
                <w:sz w:val="22"/>
              </w:rPr>
              <w:t>Бытовые навыки</w:t>
            </w:r>
          </w:p>
        </w:tc>
        <w:tc>
          <w:tcPr>
            <w:tcW w:type="dxa" w:w="2880"/>
          </w:tcPr>
          <w:p>
            <w:r/>
            <w:r>
              <w:rPr>
                <w:rFonts w:ascii="Montserrat" w:hAnsi="Montserrat"/>
                <w:sz w:val="22"/>
              </w:rPr>
              <w:t>Е. Федорова, Н. Мальцева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ontserrat" w:hAnsi="Montserrat"/>
                <w:b/>
                <w:sz w:val="22"/>
              </w:rPr>
              <w:t>Чек-лист готовности к школе</w:t>
            </w:r>
          </w:p>
        </w:tc>
        <w:tc>
          <w:tcPr>
            <w:tcW w:type="dxa" w:w="2880"/>
          </w:tcPr>
          <w:p>
            <w:r/>
            <w:r>
              <w:rPr>
                <w:rFonts w:ascii="Montserrat" w:hAnsi="Montserrat"/>
                <w:sz w:val="22"/>
              </w:rPr>
              <w:t>Готовность к обучению в школе</w:t>
            </w:r>
          </w:p>
        </w:tc>
        <w:tc>
          <w:tcPr>
            <w:tcW w:type="dxa" w:w="2880"/>
          </w:tcPr>
          <w:p>
            <w:r/>
            <w:r>
              <w:rPr>
                <w:rFonts w:ascii="Montserrat" w:hAnsi="Montserrat"/>
                <w:sz w:val="22"/>
              </w:rPr>
              <w:t>Л. Егорова, Т. Бондарь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ontserrat" w:hAnsi="Montserrat"/>
                <w:b/>
                <w:sz w:val="22"/>
              </w:rPr>
              <w:t>Опросник СДВГ</w:t>
            </w:r>
          </w:p>
        </w:tc>
        <w:tc>
          <w:tcPr>
            <w:tcW w:type="dxa" w:w="2880"/>
          </w:tcPr>
          <w:p>
            <w:r/>
            <w:r>
              <w:rPr>
                <w:rFonts w:ascii="Montserrat" w:hAnsi="Montserrat"/>
                <w:sz w:val="22"/>
              </w:rPr>
              <w:t>Проявления СДВГ</w:t>
            </w:r>
          </w:p>
        </w:tc>
        <w:tc>
          <w:tcPr>
            <w:tcW w:type="dxa" w:w="2880"/>
          </w:tcPr>
          <w:p>
            <w:r/>
            <w:r>
              <w:rPr>
                <w:rFonts w:ascii="Montserrat" w:hAnsi="Montserrat"/>
                <w:sz w:val="22"/>
              </w:rPr>
              <w:t>Е. Сафронова, Т. Котляренко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ontserrat" w:hAnsi="Montserrat"/>
                <w:b/>
                <w:sz w:val="22"/>
              </w:rPr>
              <w:t>Опросник по сенсорной интеграции</w:t>
            </w:r>
          </w:p>
        </w:tc>
        <w:tc>
          <w:tcPr>
            <w:tcW w:type="dxa" w:w="2880"/>
          </w:tcPr>
          <w:p>
            <w:r/>
            <w:r>
              <w:rPr>
                <w:rFonts w:ascii="Montserrat" w:hAnsi="Montserrat"/>
                <w:sz w:val="22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Montserrat" w:hAnsi="Montserrat"/>
                <w:sz w:val="22"/>
              </w:rPr>
              <w:t>В. Литвинова, О. Семак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