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A406F" w14:textId="09583CCD" w:rsidR="00B44E6E" w:rsidRDefault="00B44E6E">
      <w:pPr>
        <w:rPr>
          <w:rFonts w:ascii="Calibri" w:hAnsi="Calibri" w:cs="Calibri"/>
        </w:rPr>
      </w:pPr>
      <w:r>
        <w:rPr>
          <w:rFonts w:ascii="Calibri" w:hAnsi="Calibri" w:cs="Calibri"/>
        </w:rPr>
        <w:t xml:space="preserve">  </w:t>
      </w:r>
    </w:p>
    <w:p w14:paraId="34DCFF86" w14:textId="77777777" w:rsidR="00B44E6E" w:rsidRDefault="00B44E6E" w:rsidP="009E5098">
      <w:pPr>
        <w:spacing w:after="200"/>
        <w:rPr>
          <w:rFonts w:ascii="Calibri" w:hAnsi="Calibri" w:cs="Calibri"/>
        </w:rPr>
      </w:pPr>
      <w:r>
        <w:rPr>
          <w:rFonts w:ascii="Calibri" w:hAnsi="Calibri" w:cs="Calibri"/>
        </w:rPr>
        <w:t xml:space="preserve">     </w:t>
      </w:r>
    </w:p>
    <w:p w14:paraId="45603F69" w14:textId="77777777" w:rsidR="00B44E6E" w:rsidRDefault="00B44E6E" w:rsidP="00B44E6E">
      <w:pPr>
        <w:spacing w:after="200"/>
        <w:jc w:val="center"/>
        <w:rPr>
          <w:rFonts w:ascii="Calibri" w:hAnsi="Calibri" w:cs="Calibri"/>
        </w:rPr>
      </w:pPr>
    </w:p>
    <w:p w14:paraId="7351153D" w14:textId="77777777" w:rsidR="00B44E6E" w:rsidRDefault="00B44E6E" w:rsidP="00B44E6E">
      <w:pPr>
        <w:spacing w:after="200"/>
        <w:jc w:val="center"/>
        <w:rPr>
          <w:rFonts w:ascii="Calibri" w:hAnsi="Calibri" w:cs="Calibri"/>
        </w:rPr>
      </w:pPr>
    </w:p>
    <w:p w14:paraId="71898125" w14:textId="171CA4BB" w:rsidR="00B44E6E" w:rsidRDefault="00B44E6E" w:rsidP="009E5098">
      <w:pPr>
        <w:spacing w:after="200"/>
        <w:jc w:val="center"/>
      </w:pPr>
      <w:r>
        <w:rPr>
          <w:b/>
          <w:bCs/>
          <w:sz w:val="32"/>
          <w:szCs w:val="32"/>
        </w:rPr>
        <w:t>FORECASTING U.S. RENEWABLE ENERGY CONSUMPTION:</w:t>
      </w:r>
    </w:p>
    <w:p w14:paraId="432C577C" w14:textId="77777777" w:rsidR="00B44E6E" w:rsidRDefault="00B44E6E" w:rsidP="00B44E6E">
      <w:pPr>
        <w:spacing w:after="400"/>
        <w:jc w:val="center"/>
        <w:rPr>
          <w:b/>
          <w:bCs/>
          <w:sz w:val="28"/>
          <w:szCs w:val="28"/>
        </w:rPr>
      </w:pPr>
      <w:r>
        <w:rPr>
          <w:b/>
          <w:bCs/>
          <w:sz w:val="28"/>
          <w:szCs w:val="28"/>
        </w:rPr>
        <w:t>A Comparative Machine Learning Approach</w:t>
      </w:r>
    </w:p>
    <w:p w14:paraId="4D24187B" w14:textId="77777777" w:rsidR="00B44E6E" w:rsidRDefault="00B44E6E" w:rsidP="00B44E6E">
      <w:pPr>
        <w:spacing w:after="400"/>
        <w:jc w:val="center"/>
        <w:rPr>
          <w:b/>
          <w:bCs/>
          <w:sz w:val="28"/>
          <w:szCs w:val="28"/>
        </w:rPr>
      </w:pPr>
    </w:p>
    <w:p w14:paraId="5E08B180" w14:textId="66C4D821" w:rsidR="009E5098" w:rsidRDefault="009E5098" w:rsidP="00B44E6E">
      <w:pPr>
        <w:spacing w:after="400"/>
        <w:jc w:val="center"/>
        <w:rPr>
          <w:b/>
          <w:bCs/>
          <w:sz w:val="28"/>
          <w:szCs w:val="28"/>
        </w:rPr>
      </w:pPr>
      <w:r>
        <w:rPr>
          <w:b/>
          <w:bCs/>
          <w:sz w:val="28"/>
          <w:szCs w:val="28"/>
        </w:rPr>
        <w:t>BAN 693</w:t>
      </w:r>
    </w:p>
    <w:p w14:paraId="70498F09" w14:textId="6DCD9697" w:rsidR="007B50E5" w:rsidRDefault="007B50E5" w:rsidP="00B44E6E">
      <w:pPr>
        <w:spacing w:after="400"/>
        <w:jc w:val="center"/>
        <w:rPr>
          <w:b/>
          <w:bCs/>
          <w:sz w:val="28"/>
          <w:szCs w:val="28"/>
        </w:rPr>
      </w:pPr>
      <w:r>
        <w:rPr>
          <w:b/>
          <w:bCs/>
          <w:sz w:val="28"/>
          <w:szCs w:val="28"/>
        </w:rPr>
        <w:t>(Professor JIMING WU)</w:t>
      </w:r>
    </w:p>
    <w:p w14:paraId="39C00EEE" w14:textId="77777777" w:rsidR="00B44E6E" w:rsidRDefault="00B44E6E" w:rsidP="00B44E6E">
      <w:pPr>
        <w:spacing w:after="400"/>
        <w:jc w:val="center"/>
        <w:rPr>
          <w:b/>
          <w:bCs/>
          <w:sz w:val="28"/>
          <w:szCs w:val="28"/>
        </w:rPr>
      </w:pPr>
    </w:p>
    <w:p w14:paraId="42B955EC" w14:textId="42B3ED86" w:rsidR="00B44E6E" w:rsidRDefault="00B44E6E" w:rsidP="00B44E6E">
      <w:pPr>
        <w:spacing w:after="400"/>
        <w:jc w:val="center"/>
      </w:pPr>
      <w:r>
        <w:t xml:space="preserve">Prepared By </w:t>
      </w:r>
    </w:p>
    <w:p w14:paraId="64106F50" w14:textId="01F8682F" w:rsidR="00B44E6E" w:rsidRDefault="00B44E6E" w:rsidP="00B44E6E">
      <w:pPr>
        <w:spacing w:after="400"/>
        <w:jc w:val="center"/>
      </w:pPr>
      <w:r>
        <w:t>NATTAKRIT NIMTAGOOL</w:t>
      </w:r>
      <w:r w:rsidR="009E5098">
        <w:t xml:space="preserve"> (Rw9525)</w:t>
      </w:r>
    </w:p>
    <w:p w14:paraId="5C05465E" w14:textId="5380D67C" w:rsidR="00C77BF7" w:rsidRDefault="00C77BF7" w:rsidP="00B44E6E">
      <w:pPr>
        <w:spacing w:after="400"/>
        <w:jc w:val="center"/>
      </w:pPr>
    </w:p>
    <w:p w14:paraId="2E923C40" w14:textId="477DB67C" w:rsidR="00C77BF7" w:rsidRPr="00B44E6E" w:rsidRDefault="00C77BF7" w:rsidP="00B44E6E">
      <w:pPr>
        <w:spacing w:after="400"/>
        <w:jc w:val="center"/>
        <w:rPr>
          <w:rFonts w:ascii="Calibri" w:hAnsi="Calibri" w:cs="Calibri"/>
        </w:rPr>
      </w:pPr>
      <w:r>
        <w:t>California State University, East Bay</w:t>
      </w:r>
    </w:p>
    <w:p w14:paraId="4C943450" w14:textId="77777777" w:rsidR="00B44E6E" w:rsidRDefault="00B44E6E" w:rsidP="00B44E6E">
      <w:pPr>
        <w:spacing w:after="200"/>
        <w:jc w:val="center"/>
      </w:pPr>
    </w:p>
    <w:p w14:paraId="78725054" w14:textId="77777777" w:rsidR="00B44E6E" w:rsidRDefault="00B44E6E" w:rsidP="00B44E6E">
      <w:pPr>
        <w:spacing w:after="200"/>
        <w:jc w:val="center"/>
      </w:pPr>
    </w:p>
    <w:p w14:paraId="02A43F6C" w14:textId="77777777" w:rsidR="00B44E6E" w:rsidRDefault="00B44E6E" w:rsidP="00B44E6E">
      <w:pPr>
        <w:spacing w:after="600"/>
        <w:jc w:val="center"/>
        <w:rPr>
          <w:szCs w:val="24"/>
        </w:rPr>
      </w:pPr>
    </w:p>
    <w:p w14:paraId="1285A17F" w14:textId="77777777" w:rsidR="00B44E6E" w:rsidRDefault="00B44E6E" w:rsidP="00B44E6E">
      <w:pPr>
        <w:spacing w:after="600"/>
        <w:jc w:val="center"/>
        <w:rPr>
          <w:szCs w:val="24"/>
        </w:rPr>
      </w:pPr>
    </w:p>
    <w:p w14:paraId="5F2C6050" w14:textId="77777777" w:rsidR="007A2C78" w:rsidRDefault="007A2C78" w:rsidP="007A2C78">
      <w:pPr>
        <w:pStyle w:val="font-claude-response-body"/>
        <w:rPr>
          <w:rStyle w:val="Strong"/>
          <w:rFonts w:eastAsiaTheme="majorEastAsia"/>
          <w:color w:val="000000"/>
        </w:rPr>
      </w:pPr>
    </w:p>
    <w:p w14:paraId="4E0B7F02" w14:textId="77777777" w:rsidR="00674A86" w:rsidRDefault="00674A86" w:rsidP="007A2C78">
      <w:pPr>
        <w:pStyle w:val="font-claude-response-body"/>
        <w:rPr>
          <w:rStyle w:val="Strong"/>
          <w:rFonts w:eastAsiaTheme="majorEastAsia"/>
          <w:color w:val="000000"/>
        </w:rPr>
      </w:pPr>
    </w:p>
    <w:p w14:paraId="657CC6AF" w14:textId="77777777" w:rsidR="00674A86" w:rsidRDefault="00674A86" w:rsidP="007A2C78">
      <w:pPr>
        <w:pStyle w:val="font-claude-response-body"/>
        <w:rPr>
          <w:rStyle w:val="Strong"/>
          <w:rFonts w:eastAsiaTheme="majorEastAsia"/>
          <w:color w:val="000000"/>
        </w:rPr>
      </w:pPr>
    </w:p>
    <w:p w14:paraId="505F41FA" w14:textId="77777777" w:rsidR="00674A86" w:rsidRDefault="00674A86" w:rsidP="007A2C78">
      <w:pPr>
        <w:pStyle w:val="font-claude-response-body"/>
        <w:rPr>
          <w:rStyle w:val="Strong"/>
          <w:rFonts w:eastAsiaTheme="majorEastAsia"/>
          <w:color w:val="000000"/>
        </w:rPr>
      </w:pPr>
    </w:p>
    <w:p w14:paraId="5FD24C8D" w14:textId="36B4B89D" w:rsidR="00674A86" w:rsidRDefault="00022A34" w:rsidP="007A2C78">
      <w:pPr>
        <w:pStyle w:val="font-claude-response-body"/>
        <w:rPr>
          <w:rStyle w:val="Strong"/>
          <w:rFonts w:eastAsiaTheme="majorEastAsia"/>
          <w:color w:val="000000"/>
        </w:rPr>
      </w:pPr>
      <w:r>
        <w:rPr>
          <w:rStyle w:val="Strong"/>
          <w:rFonts w:eastAsiaTheme="majorEastAsia"/>
          <w:color w:val="000000"/>
        </w:rPr>
        <w:t xml:space="preserve">   </w:t>
      </w:r>
    </w:p>
    <w:p w14:paraId="042C6B3C" w14:textId="3A5C94F1" w:rsidR="00674A86" w:rsidRPr="00C14A68" w:rsidRDefault="008D11D2" w:rsidP="00022A34">
      <w:pPr>
        <w:pStyle w:val="font-claude-response-body"/>
        <w:rPr>
          <w:rStyle w:val="Strong"/>
          <w:rFonts w:eastAsiaTheme="majorEastAsia"/>
          <w:color w:val="000000"/>
        </w:rPr>
      </w:pPr>
      <w:r w:rsidRPr="00C14A68">
        <w:rPr>
          <w:rStyle w:val="Strong"/>
          <w:rFonts w:eastAsiaTheme="majorEastAsia"/>
          <w:color w:val="000000"/>
        </w:rPr>
        <w:t>Table of Contents</w:t>
      </w:r>
    </w:p>
    <w:p w14:paraId="525FB7A8" w14:textId="6118B8FB" w:rsidR="00B6050E" w:rsidRPr="00C14A68" w:rsidRDefault="00076260" w:rsidP="00B6050E">
      <w:pPr>
        <w:pStyle w:val="font-claude-response-body"/>
        <w:numPr>
          <w:ilvl w:val="0"/>
          <w:numId w:val="5"/>
        </w:numPr>
        <w:rPr>
          <w:rStyle w:val="Strong"/>
          <w:rFonts w:eastAsiaTheme="majorEastAsia"/>
          <w:color w:val="000000"/>
        </w:rPr>
      </w:pPr>
      <w:r w:rsidRPr="00C14A68">
        <w:rPr>
          <w:rStyle w:val="Strong"/>
          <w:rFonts w:eastAsiaTheme="majorEastAsia"/>
          <w:color w:val="000000"/>
        </w:rPr>
        <w:t>Objectives</w:t>
      </w:r>
    </w:p>
    <w:p w14:paraId="012AD2D4" w14:textId="7680FB63" w:rsidR="00076260" w:rsidRPr="00C14A68" w:rsidRDefault="00076260" w:rsidP="00022A34">
      <w:pPr>
        <w:pStyle w:val="ListParagraph"/>
        <w:numPr>
          <w:ilvl w:val="1"/>
          <w:numId w:val="5"/>
        </w:num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r w:rsidRPr="00C14A68">
        <w:rPr>
          <w:rFonts w:ascii="Times New Roman" w:eastAsia="Times New Roman" w:hAnsi="Times New Roman" w:cs="Times New Roman"/>
          <w:b/>
          <w:bCs/>
          <w:color w:val="000000"/>
          <w:kern w:val="0"/>
          <w:szCs w:val="24"/>
          <w14:ligatures w14:val="none"/>
        </w:rPr>
        <w:t>Primary Project Objectives</w:t>
      </w:r>
    </w:p>
    <w:p w14:paraId="0BBF81B9" w14:textId="052F184D" w:rsidR="00076260" w:rsidRPr="00C14A68" w:rsidRDefault="00076260" w:rsidP="00022A34">
      <w:pPr>
        <w:pStyle w:val="ListParagraph"/>
        <w:numPr>
          <w:ilvl w:val="1"/>
          <w:numId w:val="5"/>
        </w:num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r w:rsidRPr="00C14A68">
        <w:rPr>
          <w:rFonts w:ascii="Times New Roman" w:eastAsia="Times New Roman" w:hAnsi="Times New Roman" w:cs="Times New Roman"/>
          <w:b/>
          <w:bCs/>
          <w:color w:val="000000"/>
          <w:kern w:val="0"/>
          <w:szCs w:val="24"/>
          <w14:ligatures w14:val="none"/>
        </w:rPr>
        <w:t>Practical Value and Impact</w:t>
      </w:r>
    </w:p>
    <w:p w14:paraId="289153A5" w14:textId="77777777" w:rsidR="00076260" w:rsidRPr="00C14A68" w:rsidRDefault="00076260" w:rsidP="00022A34">
      <w:pPr>
        <w:pStyle w:val="ListParagraph"/>
        <w:spacing w:before="100" w:beforeAutospacing="1" w:after="100" w:afterAutospacing="1" w:line="240" w:lineRule="auto"/>
        <w:ind w:left="1140"/>
        <w:outlineLvl w:val="2"/>
        <w:rPr>
          <w:rFonts w:ascii="Times New Roman" w:eastAsia="Times New Roman" w:hAnsi="Times New Roman" w:cs="Times New Roman"/>
          <w:b/>
          <w:bCs/>
          <w:color w:val="000000"/>
          <w:kern w:val="0"/>
          <w:szCs w:val="24"/>
          <w14:ligatures w14:val="none"/>
        </w:rPr>
      </w:pPr>
    </w:p>
    <w:p w14:paraId="69DDDC6F" w14:textId="2E2430AA" w:rsidR="00B6050E" w:rsidRPr="00C14A68" w:rsidRDefault="00076260" w:rsidP="00B6050E">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r w:rsidRPr="00C14A68">
        <w:rPr>
          <w:rFonts w:ascii="Times New Roman" w:eastAsia="Times New Roman" w:hAnsi="Times New Roman" w:cs="Times New Roman"/>
          <w:b/>
          <w:bCs/>
          <w:color w:val="000000"/>
          <w:kern w:val="0"/>
          <w:szCs w:val="24"/>
          <w14:ligatures w14:val="none"/>
        </w:rPr>
        <w:t>METHODOLOGY</w:t>
      </w:r>
    </w:p>
    <w:p w14:paraId="453469B8" w14:textId="185D5E18" w:rsidR="00076260" w:rsidRPr="00C14A68" w:rsidRDefault="00076260" w:rsidP="00022A34">
      <w:pPr>
        <w:pStyle w:val="ListParagraph"/>
        <w:numPr>
          <w:ilvl w:val="1"/>
          <w:numId w:val="5"/>
        </w:num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r w:rsidRPr="00C14A68">
        <w:rPr>
          <w:rFonts w:ascii="Times New Roman" w:eastAsia="Times New Roman" w:hAnsi="Times New Roman" w:cs="Times New Roman"/>
          <w:b/>
          <w:bCs/>
          <w:color w:val="000000"/>
          <w:kern w:val="0"/>
          <w:szCs w:val="24"/>
          <w14:ligatures w14:val="none"/>
        </w:rPr>
        <w:t>Data Source</w:t>
      </w:r>
    </w:p>
    <w:p w14:paraId="05834792" w14:textId="50EF7F15" w:rsidR="00076260" w:rsidRPr="00C14A68" w:rsidRDefault="00076260" w:rsidP="00022A34">
      <w:pPr>
        <w:pStyle w:val="ListParagraph"/>
        <w:numPr>
          <w:ilvl w:val="1"/>
          <w:numId w:val="5"/>
        </w:num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r w:rsidRPr="00792442">
        <w:rPr>
          <w:rFonts w:ascii="Times New Roman" w:eastAsia="Times New Roman" w:hAnsi="Times New Roman" w:cs="Times New Roman"/>
          <w:b/>
          <w:bCs/>
          <w:color w:val="000000"/>
          <w:kern w:val="0"/>
          <w:szCs w:val="24"/>
          <w14:ligatures w14:val="none"/>
        </w:rPr>
        <w:t>Analytical Tools and Techniques</w:t>
      </w:r>
    </w:p>
    <w:p w14:paraId="6DC14553" w14:textId="712DEBC5" w:rsidR="00076260" w:rsidRPr="00C14A68" w:rsidRDefault="00076260" w:rsidP="00022A34">
      <w:pPr>
        <w:pStyle w:val="ListParagraph"/>
        <w:numPr>
          <w:ilvl w:val="1"/>
          <w:numId w:val="5"/>
        </w:num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r w:rsidRPr="00432166">
        <w:rPr>
          <w:rFonts w:ascii="Times New Roman" w:eastAsia="Times New Roman" w:hAnsi="Times New Roman" w:cs="Times New Roman"/>
          <w:b/>
          <w:bCs/>
          <w:color w:val="000000"/>
          <w:kern w:val="0"/>
          <w:szCs w:val="24"/>
          <w14:ligatures w14:val="none"/>
        </w:rPr>
        <w:t>Assumptions and Limitations</w:t>
      </w:r>
    </w:p>
    <w:p w14:paraId="71B8F289" w14:textId="77777777" w:rsidR="00076260" w:rsidRPr="00C14A68" w:rsidRDefault="00076260" w:rsidP="00022A34">
      <w:pPr>
        <w:pStyle w:val="ListParagraph"/>
        <w:spacing w:before="100" w:beforeAutospacing="1" w:after="100" w:afterAutospacing="1" w:line="240" w:lineRule="auto"/>
        <w:ind w:left="1140"/>
        <w:outlineLvl w:val="2"/>
        <w:rPr>
          <w:rFonts w:ascii="Times New Roman" w:eastAsia="Times New Roman" w:hAnsi="Times New Roman" w:cs="Times New Roman"/>
          <w:b/>
          <w:bCs/>
          <w:color w:val="000000"/>
          <w:kern w:val="0"/>
          <w:szCs w:val="24"/>
          <w14:ligatures w14:val="none"/>
        </w:rPr>
      </w:pPr>
    </w:p>
    <w:p w14:paraId="02C43101" w14:textId="322A30BE" w:rsidR="00B6050E" w:rsidRPr="00C14A68" w:rsidRDefault="00076260" w:rsidP="00B6050E">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r w:rsidRPr="00432166">
        <w:rPr>
          <w:rFonts w:ascii="Times New Roman" w:eastAsia="Times New Roman" w:hAnsi="Times New Roman" w:cs="Times New Roman"/>
          <w:b/>
          <w:bCs/>
          <w:color w:val="000000"/>
          <w:kern w:val="0"/>
          <w:szCs w:val="24"/>
          <w14:ligatures w14:val="none"/>
        </w:rPr>
        <w:t>ANALYSIS</w:t>
      </w:r>
    </w:p>
    <w:p w14:paraId="51CBC90F" w14:textId="55CE0958" w:rsidR="00076260" w:rsidRPr="00C14A68" w:rsidRDefault="00076260" w:rsidP="00022A34">
      <w:pPr>
        <w:pStyle w:val="ListParagraph"/>
        <w:numPr>
          <w:ilvl w:val="1"/>
          <w:numId w:val="5"/>
        </w:num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r w:rsidRPr="00C14A68">
        <w:rPr>
          <w:rFonts w:ascii="Times New Roman" w:eastAsia="Times New Roman" w:hAnsi="Times New Roman" w:cs="Times New Roman"/>
          <w:b/>
          <w:bCs/>
          <w:color w:val="000000"/>
          <w:kern w:val="0"/>
          <w:szCs w:val="24"/>
          <w14:ligatures w14:val="none"/>
        </w:rPr>
        <w:t>Model Performance Comparison</w:t>
      </w:r>
    </w:p>
    <w:p w14:paraId="29A4A9CD" w14:textId="77777777" w:rsidR="00022A34" w:rsidRPr="00C14A68" w:rsidRDefault="00022A34" w:rsidP="00022A34">
      <w:pPr>
        <w:pStyle w:val="ListParagraph"/>
        <w:numPr>
          <w:ilvl w:val="1"/>
          <w:numId w:val="5"/>
        </w:num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r w:rsidRPr="00C14A68">
        <w:rPr>
          <w:rFonts w:ascii="Times New Roman" w:eastAsia="Times New Roman" w:hAnsi="Times New Roman" w:cs="Times New Roman"/>
          <w:b/>
          <w:bCs/>
          <w:color w:val="000000"/>
          <w:kern w:val="0"/>
          <w:szCs w:val="24"/>
          <w14:ligatures w14:val="none"/>
        </w:rPr>
        <w:t>Residual Analysi</w:t>
      </w:r>
      <w:r w:rsidRPr="00C14A68">
        <w:rPr>
          <w:rFonts w:ascii="Times New Roman" w:eastAsia="Times New Roman" w:hAnsi="Times New Roman" w:cs="Times New Roman"/>
          <w:b/>
          <w:bCs/>
          <w:color w:val="000000"/>
          <w:kern w:val="0"/>
          <w:szCs w:val="24"/>
          <w14:ligatures w14:val="none"/>
        </w:rPr>
        <w:t>s</w:t>
      </w:r>
    </w:p>
    <w:p w14:paraId="13FE3F10" w14:textId="77777777" w:rsidR="00022A34" w:rsidRPr="00C14A68" w:rsidRDefault="00022A34" w:rsidP="00022A34">
      <w:pPr>
        <w:pStyle w:val="ListParagraph"/>
        <w:numPr>
          <w:ilvl w:val="1"/>
          <w:numId w:val="5"/>
        </w:num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r w:rsidRPr="00C14A68">
        <w:rPr>
          <w:rFonts w:ascii="Times New Roman" w:eastAsia="Times New Roman" w:hAnsi="Times New Roman" w:cs="Times New Roman"/>
          <w:b/>
          <w:bCs/>
          <w:color w:val="000000"/>
          <w:kern w:val="0"/>
          <w:szCs w:val="24"/>
          <w14:ligatures w14:val="none"/>
        </w:rPr>
        <w:t>Five-Year Forecast Results</w:t>
      </w:r>
    </w:p>
    <w:p w14:paraId="40C2CEBC" w14:textId="77777777" w:rsidR="00022A34" w:rsidRPr="00C14A68" w:rsidRDefault="00022A34" w:rsidP="00022A34">
      <w:pPr>
        <w:pStyle w:val="ListParagraph"/>
        <w:spacing w:before="100" w:beforeAutospacing="1" w:after="100" w:afterAutospacing="1" w:line="240" w:lineRule="auto"/>
        <w:ind w:left="990"/>
        <w:outlineLvl w:val="2"/>
        <w:rPr>
          <w:rFonts w:ascii="Times New Roman" w:eastAsia="Times New Roman" w:hAnsi="Times New Roman" w:cs="Times New Roman"/>
          <w:b/>
          <w:bCs/>
          <w:color w:val="000000"/>
          <w:kern w:val="0"/>
          <w:szCs w:val="24"/>
          <w14:ligatures w14:val="none"/>
        </w:rPr>
      </w:pPr>
    </w:p>
    <w:p w14:paraId="0CECB6BC" w14:textId="77777777" w:rsidR="00B6050E" w:rsidRPr="00C14A68" w:rsidRDefault="00022A34" w:rsidP="00B6050E">
      <w:pPr>
        <w:pStyle w:val="ListParagraph"/>
        <w:numPr>
          <w:ilvl w:val="0"/>
          <w:numId w:val="5"/>
        </w:numPr>
        <w:spacing w:before="100" w:beforeAutospacing="1" w:after="100" w:afterAutospacing="1" w:line="240" w:lineRule="auto"/>
        <w:outlineLvl w:val="1"/>
        <w:rPr>
          <w:rFonts w:ascii="Times New Roman" w:eastAsia="Times New Roman" w:hAnsi="Times New Roman" w:cs="Times New Roman"/>
          <w:b/>
          <w:bCs/>
          <w:color w:val="000000"/>
          <w:kern w:val="0"/>
          <w:szCs w:val="24"/>
          <w14:ligatures w14:val="none"/>
        </w:rPr>
      </w:pPr>
      <w:r w:rsidRPr="00C14A68">
        <w:rPr>
          <w:rFonts w:ascii="Times New Roman" w:eastAsia="Times New Roman" w:hAnsi="Times New Roman" w:cs="Times New Roman"/>
          <w:b/>
          <w:bCs/>
          <w:color w:val="000000"/>
          <w:kern w:val="0"/>
          <w:szCs w:val="24"/>
          <w14:ligatures w14:val="none"/>
        </w:rPr>
        <w:t>DISCUSSIO</w:t>
      </w:r>
      <w:r w:rsidR="00B6050E" w:rsidRPr="00C14A68">
        <w:rPr>
          <w:rFonts w:ascii="Times New Roman" w:eastAsia="Times New Roman" w:hAnsi="Times New Roman" w:cs="Times New Roman"/>
          <w:b/>
          <w:bCs/>
          <w:color w:val="000000"/>
          <w:kern w:val="0"/>
          <w:szCs w:val="24"/>
          <w14:ligatures w14:val="none"/>
        </w:rPr>
        <w:t>N</w:t>
      </w:r>
    </w:p>
    <w:p w14:paraId="4EEBC77B" w14:textId="1C88C9BC" w:rsidR="00B6050E" w:rsidRPr="00C14A68" w:rsidRDefault="00B6050E" w:rsidP="00B6050E">
      <w:pPr>
        <w:pStyle w:val="ListParagraph"/>
        <w:numPr>
          <w:ilvl w:val="1"/>
          <w:numId w:val="5"/>
        </w:numPr>
        <w:spacing w:before="100" w:beforeAutospacing="1" w:after="100" w:afterAutospacing="1" w:line="240" w:lineRule="auto"/>
        <w:outlineLvl w:val="1"/>
        <w:rPr>
          <w:rFonts w:ascii="Times New Roman" w:eastAsia="Times New Roman" w:hAnsi="Times New Roman" w:cs="Times New Roman"/>
          <w:b/>
          <w:bCs/>
          <w:color w:val="000000"/>
          <w:kern w:val="0"/>
          <w:szCs w:val="24"/>
          <w14:ligatures w14:val="none"/>
        </w:rPr>
      </w:pPr>
      <w:r w:rsidRPr="00366775">
        <w:rPr>
          <w:rFonts w:ascii="Times New Roman" w:eastAsia="Times New Roman" w:hAnsi="Times New Roman" w:cs="Times New Roman"/>
          <w:b/>
          <w:bCs/>
          <w:color w:val="000000"/>
          <w:kern w:val="0"/>
          <w:szCs w:val="24"/>
          <w14:ligatures w14:val="none"/>
        </w:rPr>
        <w:t>Interpretation of Model Performanc</w:t>
      </w:r>
      <w:r w:rsidRPr="00C14A68">
        <w:rPr>
          <w:rFonts w:ascii="Times New Roman" w:eastAsia="Times New Roman" w:hAnsi="Times New Roman" w:cs="Times New Roman"/>
          <w:b/>
          <w:bCs/>
          <w:color w:val="000000"/>
          <w:kern w:val="0"/>
          <w:szCs w:val="24"/>
          <w14:ligatures w14:val="none"/>
        </w:rPr>
        <w:t>e</w:t>
      </w:r>
    </w:p>
    <w:p w14:paraId="2889067E" w14:textId="7D0066FD" w:rsidR="00B6050E" w:rsidRPr="00C14A68" w:rsidRDefault="00B6050E" w:rsidP="00B6050E">
      <w:pPr>
        <w:pStyle w:val="ListParagraph"/>
        <w:numPr>
          <w:ilvl w:val="1"/>
          <w:numId w:val="5"/>
        </w:numPr>
        <w:spacing w:before="100" w:beforeAutospacing="1" w:after="100" w:afterAutospacing="1" w:line="240" w:lineRule="auto"/>
        <w:outlineLvl w:val="1"/>
        <w:rPr>
          <w:rFonts w:ascii="Times New Roman" w:eastAsia="Times New Roman" w:hAnsi="Times New Roman" w:cs="Times New Roman"/>
          <w:b/>
          <w:bCs/>
          <w:color w:val="000000"/>
          <w:kern w:val="0"/>
          <w:szCs w:val="24"/>
          <w14:ligatures w14:val="none"/>
        </w:rPr>
      </w:pPr>
      <w:r w:rsidRPr="00C14A68">
        <w:rPr>
          <w:rFonts w:ascii="Times New Roman" w:eastAsia="Times New Roman" w:hAnsi="Times New Roman" w:cs="Times New Roman"/>
          <w:b/>
          <w:bCs/>
          <w:color w:val="000000"/>
          <w:kern w:val="0"/>
          <w:szCs w:val="24"/>
          <w14:ligatures w14:val="none"/>
        </w:rPr>
        <w:t>Energy Source Dynamics</w:t>
      </w:r>
    </w:p>
    <w:p w14:paraId="3D2E167A" w14:textId="77777777" w:rsidR="00B6050E" w:rsidRPr="00C14A68" w:rsidRDefault="00B6050E" w:rsidP="00B6050E">
      <w:pPr>
        <w:pStyle w:val="ListParagraph"/>
        <w:numPr>
          <w:ilvl w:val="1"/>
          <w:numId w:val="5"/>
        </w:numPr>
        <w:spacing w:before="100" w:beforeAutospacing="1" w:after="100" w:afterAutospacing="1" w:line="240" w:lineRule="auto"/>
        <w:outlineLvl w:val="1"/>
        <w:rPr>
          <w:rFonts w:ascii="Times New Roman" w:eastAsia="Times New Roman" w:hAnsi="Times New Roman" w:cs="Times New Roman"/>
          <w:b/>
          <w:bCs/>
          <w:color w:val="000000"/>
          <w:kern w:val="0"/>
          <w:szCs w:val="24"/>
          <w14:ligatures w14:val="none"/>
        </w:rPr>
      </w:pPr>
      <w:r w:rsidRPr="00C14A68">
        <w:rPr>
          <w:rFonts w:ascii="Times New Roman" w:eastAsia="Times New Roman" w:hAnsi="Times New Roman" w:cs="Times New Roman"/>
          <w:b/>
          <w:bCs/>
          <w:color w:val="000000"/>
          <w:kern w:val="0"/>
          <w:szCs w:val="24"/>
          <w14:ligatures w14:val="none"/>
        </w:rPr>
        <w:t>Forecast Implications for Policy and Planning</w:t>
      </w:r>
    </w:p>
    <w:p w14:paraId="74CA8098" w14:textId="77777777" w:rsidR="00B6050E" w:rsidRPr="00C14A68" w:rsidRDefault="00B6050E" w:rsidP="00B6050E">
      <w:pPr>
        <w:pStyle w:val="ListParagraph"/>
        <w:spacing w:before="100" w:beforeAutospacing="1" w:after="100" w:afterAutospacing="1" w:line="240" w:lineRule="auto"/>
        <w:ind w:left="990"/>
        <w:outlineLvl w:val="1"/>
        <w:rPr>
          <w:rFonts w:ascii="Times New Roman" w:eastAsia="Times New Roman" w:hAnsi="Times New Roman" w:cs="Times New Roman"/>
          <w:b/>
          <w:bCs/>
          <w:color w:val="000000"/>
          <w:kern w:val="0"/>
          <w:szCs w:val="24"/>
          <w14:ligatures w14:val="none"/>
        </w:rPr>
      </w:pPr>
    </w:p>
    <w:p w14:paraId="4CF930C7" w14:textId="4AB887B2" w:rsidR="00B6050E" w:rsidRPr="00C14A68" w:rsidRDefault="00B6050E" w:rsidP="00B6050E">
      <w:pPr>
        <w:pStyle w:val="ListParagraph"/>
        <w:numPr>
          <w:ilvl w:val="0"/>
          <w:numId w:val="5"/>
        </w:numPr>
        <w:spacing w:before="100" w:beforeAutospacing="1" w:after="100" w:afterAutospacing="1" w:line="240" w:lineRule="auto"/>
        <w:outlineLvl w:val="1"/>
        <w:rPr>
          <w:rFonts w:ascii="Times New Roman" w:eastAsia="Times New Roman" w:hAnsi="Times New Roman" w:cs="Times New Roman"/>
          <w:b/>
          <w:bCs/>
          <w:color w:val="000000"/>
          <w:kern w:val="0"/>
          <w:szCs w:val="24"/>
          <w14:ligatures w14:val="none"/>
        </w:rPr>
      </w:pPr>
      <w:r w:rsidRPr="00C14A68">
        <w:rPr>
          <w:rFonts w:ascii="Times New Roman" w:eastAsia="Times New Roman" w:hAnsi="Times New Roman" w:cs="Times New Roman"/>
          <w:b/>
          <w:bCs/>
          <w:color w:val="000000"/>
          <w:kern w:val="0"/>
          <w:szCs w:val="24"/>
          <w14:ligatures w14:val="none"/>
        </w:rPr>
        <w:t>CONCLUSION</w:t>
      </w:r>
    </w:p>
    <w:p w14:paraId="793636A3" w14:textId="77777777" w:rsidR="00B6050E" w:rsidRPr="00C14A68" w:rsidRDefault="00B6050E" w:rsidP="00B6050E">
      <w:pPr>
        <w:pStyle w:val="ListParagraph"/>
        <w:spacing w:before="100" w:beforeAutospacing="1" w:after="100" w:afterAutospacing="1" w:line="240" w:lineRule="auto"/>
        <w:outlineLvl w:val="1"/>
        <w:rPr>
          <w:rFonts w:ascii="Times New Roman" w:eastAsia="Times New Roman" w:hAnsi="Times New Roman" w:cs="Times New Roman"/>
          <w:b/>
          <w:bCs/>
          <w:color w:val="000000"/>
          <w:kern w:val="0"/>
          <w:szCs w:val="24"/>
          <w14:ligatures w14:val="none"/>
        </w:rPr>
      </w:pPr>
    </w:p>
    <w:p w14:paraId="5F7D9F80" w14:textId="77777777" w:rsidR="00B6050E" w:rsidRPr="00C14A68" w:rsidRDefault="00B6050E" w:rsidP="00B6050E">
      <w:pPr>
        <w:pStyle w:val="ListParagraph"/>
        <w:numPr>
          <w:ilvl w:val="0"/>
          <w:numId w:val="5"/>
        </w:numPr>
        <w:spacing w:before="100" w:beforeAutospacing="1" w:after="100" w:afterAutospacing="1" w:line="240" w:lineRule="auto"/>
        <w:outlineLvl w:val="1"/>
        <w:rPr>
          <w:rFonts w:ascii="Times New Roman" w:eastAsia="Times New Roman" w:hAnsi="Times New Roman" w:cs="Times New Roman"/>
          <w:b/>
          <w:bCs/>
          <w:color w:val="000000"/>
          <w:kern w:val="0"/>
          <w:szCs w:val="24"/>
          <w14:ligatures w14:val="none"/>
        </w:rPr>
      </w:pPr>
      <w:r w:rsidRPr="007919FD">
        <w:rPr>
          <w:rFonts w:ascii="Times New Roman" w:eastAsia="Times New Roman" w:hAnsi="Times New Roman" w:cs="Times New Roman"/>
          <w:b/>
          <w:bCs/>
          <w:color w:val="000000"/>
          <w:kern w:val="0"/>
          <w:szCs w:val="24"/>
          <w14:ligatures w14:val="none"/>
        </w:rPr>
        <w:t>RECOMMENDATION</w:t>
      </w:r>
      <w:r w:rsidRPr="00C14A68">
        <w:rPr>
          <w:rFonts w:ascii="Times New Roman" w:eastAsia="Times New Roman" w:hAnsi="Times New Roman" w:cs="Times New Roman"/>
          <w:b/>
          <w:bCs/>
          <w:color w:val="000000"/>
          <w:kern w:val="0"/>
          <w:szCs w:val="24"/>
          <w14:ligatures w14:val="none"/>
        </w:rPr>
        <w:t>S</w:t>
      </w:r>
      <w:r w:rsidRPr="00C14A68">
        <w:rPr>
          <w:rFonts w:ascii="Times New Roman" w:eastAsia="Times New Roman" w:hAnsi="Times New Roman" w:cs="Times New Roman"/>
          <w:b/>
          <w:bCs/>
          <w:color w:val="000000"/>
          <w:kern w:val="0"/>
          <w:szCs w:val="24"/>
          <w14:ligatures w14:val="none"/>
        </w:rPr>
        <w:tab/>
      </w:r>
    </w:p>
    <w:p w14:paraId="27FA38B9" w14:textId="11F52EE6" w:rsidR="00C14A68" w:rsidRPr="007919FD" w:rsidRDefault="00C14A68" w:rsidP="00C14A68">
      <w:pPr>
        <w:pStyle w:val="ListParagraph"/>
        <w:rPr>
          <w:rFonts w:ascii="Times New Roman" w:eastAsia="Times New Roman" w:hAnsi="Times New Roman" w:cs="Times New Roman"/>
          <w:b/>
          <w:bCs/>
          <w:color w:val="000000"/>
          <w:kern w:val="0"/>
          <w:szCs w:val="24"/>
          <w14:ligatures w14:val="none"/>
        </w:rPr>
      </w:pPr>
      <w:r w:rsidRPr="00C14A68">
        <w:rPr>
          <w:rFonts w:ascii="Times New Roman" w:eastAsia="Times New Roman" w:hAnsi="Times New Roman" w:cs="Times New Roman"/>
          <w:b/>
          <w:bCs/>
          <w:color w:val="000000"/>
          <w:kern w:val="0"/>
          <w:szCs w:val="24"/>
          <w14:ligatures w14:val="none"/>
        </w:rPr>
        <w:t xml:space="preserve">6.1 </w:t>
      </w:r>
      <w:r w:rsidRPr="007919FD">
        <w:rPr>
          <w:rFonts w:ascii="Times New Roman" w:eastAsia="Times New Roman" w:hAnsi="Times New Roman" w:cs="Times New Roman"/>
          <w:b/>
          <w:bCs/>
          <w:color w:val="000000"/>
          <w:kern w:val="0"/>
          <w:szCs w:val="24"/>
          <w14:ligatures w14:val="none"/>
        </w:rPr>
        <w:t>For Policy Makers</w:t>
      </w:r>
      <w:r w:rsidRPr="00C14A68">
        <w:rPr>
          <w:rFonts w:ascii="Times New Roman" w:eastAsia="Times New Roman" w:hAnsi="Times New Roman" w:cs="Times New Roman"/>
          <w:b/>
          <w:bCs/>
          <w:color w:val="000000"/>
          <w:kern w:val="0"/>
          <w:szCs w:val="24"/>
          <w14:ligatures w14:val="none"/>
        </w:rPr>
        <w:tab/>
      </w:r>
      <w:r w:rsidRPr="00C14A68">
        <w:rPr>
          <w:rFonts w:ascii="Times New Roman" w:eastAsia="Times New Roman" w:hAnsi="Times New Roman" w:cs="Times New Roman"/>
          <w:b/>
          <w:bCs/>
          <w:color w:val="000000"/>
          <w:kern w:val="0"/>
          <w:szCs w:val="24"/>
          <w14:ligatures w14:val="none"/>
        </w:rPr>
        <w:tab/>
      </w:r>
      <w:r w:rsidRPr="00C14A68">
        <w:rPr>
          <w:rFonts w:ascii="Times New Roman" w:eastAsia="Times New Roman" w:hAnsi="Times New Roman" w:cs="Times New Roman"/>
          <w:b/>
          <w:bCs/>
          <w:color w:val="000000"/>
          <w:kern w:val="0"/>
          <w:szCs w:val="24"/>
          <w14:ligatures w14:val="none"/>
        </w:rPr>
        <w:tab/>
      </w:r>
      <w:r w:rsidRPr="00C14A68">
        <w:rPr>
          <w:rFonts w:ascii="Times New Roman" w:eastAsia="Times New Roman" w:hAnsi="Times New Roman" w:cs="Times New Roman"/>
          <w:b/>
          <w:bCs/>
          <w:color w:val="000000"/>
          <w:kern w:val="0"/>
          <w:szCs w:val="24"/>
          <w14:ligatures w14:val="none"/>
        </w:rPr>
        <w:tab/>
      </w:r>
      <w:r w:rsidRPr="00C14A68">
        <w:rPr>
          <w:rFonts w:ascii="Times New Roman" w:eastAsia="Times New Roman" w:hAnsi="Times New Roman" w:cs="Times New Roman"/>
          <w:b/>
          <w:bCs/>
          <w:color w:val="000000"/>
          <w:kern w:val="0"/>
          <w:szCs w:val="24"/>
          <w14:ligatures w14:val="none"/>
        </w:rPr>
        <w:tab/>
      </w:r>
      <w:r w:rsidRPr="00C14A68">
        <w:rPr>
          <w:rFonts w:ascii="Times New Roman" w:eastAsia="Times New Roman" w:hAnsi="Times New Roman" w:cs="Times New Roman"/>
          <w:b/>
          <w:bCs/>
          <w:color w:val="000000"/>
          <w:kern w:val="0"/>
          <w:szCs w:val="24"/>
          <w14:ligatures w14:val="none"/>
        </w:rPr>
        <w:tab/>
      </w:r>
      <w:r w:rsidRPr="00C14A68">
        <w:rPr>
          <w:rFonts w:ascii="Times New Roman" w:eastAsia="Times New Roman" w:hAnsi="Times New Roman" w:cs="Times New Roman"/>
          <w:b/>
          <w:bCs/>
          <w:color w:val="000000"/>
          <w:kern w:val="0"/>
          <w:szCs w:val="24"/>
          <w14:ligatures w14:val="none"/>
        </w:rPr>
        <w:tab/>
      </w:r>
      <w:r w:rsidRPr="00C14A68">
        <w:rPr>
          <w:rFonts w:ascii="Times New Roman" w:eastAsia="Times New Roman" w:hAnsi="Times New Roman" w:cs="Times New Roman"/>
          <w:b/>
          <w:bCs/>
          <w:color w:val="000000"/>
          <w:kern w:val="0"/>
          <w:szCs w:val="24"/>
          <w14:ligatures w14:val="none"/>
        </w:rPr>
        <w:tab/>
        <w:t xml:space="preserve">         6.2 </w:t>
      </w:r>
      <w:r w:rsidRPr="007919FD">
        <w:rPr>
          <w:rFonts w:ascii="Times New Roman" w:eastAsia="Times New Roman" w:hAnsi="Times New Roman" w:cs="Times New Roman"/>
          <w:b/>
          <w:bCs/>
          <w:color w:val="000000"/>
          <w:kern w:val="0"/>
          <w:szCs w:val="24"/>
          <w14:ligatures w14:val="none"/>
        </w:rPr>
        <w:t>For Energy Companies</w:t>
      </w:r>
    </w:p>
    <w:p w14:paraId="122AA15A" w14:textId="455EE221" w:rsidR="00C14A68" w:rsidRPr="00C14A68" w:rsidRDefault="00C14A68" w:rsidP="00B6050E">
      <w:pPr>
        <w:pStyle w:val="ListParagraph"/>
        <w:rPr>
          <w:rFonts w:ascii="Times New Roman" w:eastAsia="Times New Roman" w:hAnsi="Times New Roman" w:cs="Times New Roman"/>
          <w:b/>
          <w:bCs/>
          <w:color w:val="000000"/>
          <w:kern w:val="0"/>
          <w:szCs w:val="24"/>
          <w14:ligatures w14:val="none"/>
        </w:rPr>
      </w:pPr>
    </w:p>
    <w:p w14:paraId="7A127D11" w14:textId="7B2EEBB4" w:rsidR="00C14A68" w:rsidRPr="00C14A68" w:rsidRDefault="00C14A68" w:rsidP="00C14A68">
      <w:pPr>
        <w:pStyle w:val="ListParagraph"/>
        <w:numPr>
          <w:ilvl w:val="0"/>
          <w:numId w:val="5"/>
        </w:numPr>
        <w:spacing w:before="100" w:beforeAutospacing="1" w:after="100" w:afterAutospacing="1" w:line="240" w:lineRule="auto"/>
        <w:outlineLvl w:val="1"/>
        <w:rPr>
          <w:rFonts w:ascii="Times New Roman" w:eastAsia="Times New Roman" w:hAnsi="Times New Roman" w:cs="Times New Roman"/>
          <w:b/>
          <w:bCs/>
          <w:color w:val="000000"/>
          <w:kern w:val="0"/>
          <w:szCs w:val="24"/>
          <w14:ligatures w14:val="none"/>
        </w:rPr>
      </w:pPr>
      <w:r w:rsidRPr="00C14A68">
        <w:rPr>
          <w:rFonts w:ascii="Times New Roman" w:eastAsia="Times New Roman" w:hAnsi="Times New Roman" w:cs="Times New Roman"/>
          <w:b/>
          <w:bCs/>
          <w:color w:val="000000"/>
          <w:kern w:val="0"/>
          <w:szCs w:val="24"/>
          <w14:ligatures w14:val="none"/>
        </w:rPr>
        <w:t>FUTURE WORK</w:t>
      </w:r>
    </w:p>
    <w:p w14:paraId="6982A7A7" w14:textId="461DFA3D" w:rsidR="00C14A68" w:rsidRPr="00C14A68" w:rsidRDefault="00C14A68" w:rsidP="00C14A68">
      <w:pPr>
        <w:pStyle w:val="ListParagraph"/>
        <w:spacing w:before="100" w:beforeAutospacing="1" w:after="100" w:afterAutospacing="1" w:line="240" w:lineRule="auto"/>
        <w:outlineLvl w:val="1"/>
        <w:rPr>
          <w:rFonts w:ascii="Times New Roman" w:eastAsia="Times New Roman" w:hAnsi="Times New Roman" w:cs="Times New Roman"/>
          <w:b/>
          <w:bCs/>
          <w:color w:val="000000"/>
          <w:kern w:val="0"/>
          <w:szCs w:val="24"/>
          <w14:ligatures w14:val="none"/>
        </w:rPr>
      </w:pPr>
      <w:r w:rsidRPr="00C14A68">
        <w:rPr>
          <w:rFonts w:ascii="Times New Roman" w:eastAsia="Times New Roman" w:hAnsi="Times New Roman" w:cs="Times New Roman"/>
          <w:b/>
          <w:bCs/>
          <w:color w:val="000000"/>
          <w:kern w:val="0"/>
          <w:szCs w:val="24"/>
          <w14:ligatures w14:val="none"/>
        </w:rPr>
        <w:t xml:space="preserve">7.1 </w:t>
      </w:r>
      <w:r w:rsidRPr="007919FD">
        <w:rPr>
          <w:rFonts w:ascii="Times New Roman" w:eastAsia="Times New Roman" w:hAnsi="Times New Roman" w:cs="Times New Roman"/>
          <w:b/>
          <w:bCs/>
          <w:color w:val="000000"/>
          <w:kern w:val="0"/>
          <w:szCs w:val="24"/>
          <w14:ligatures w14:val="none"/>
        </w:rPr>
        <w:t>Incorporate External Variables</w:t>
      </w:r>
    </w:p>
    <w:p w14:paraId="6B0C51C5" w14:textId="3F68A1F5" w:rsidR="00C14A68" w:rsidRPr="00C14A68" w:rsidRDefault="00C14A68" w:rsidP="00C14A68">
      <w:pPr>
        <w:pStyle w:val="ListParagraph"/>
        <w:spacing w:before="100" w:beforeAutospacing="1" w:after="100" w:afterAutospacing="1" w:line="240" w:lineRule="auto"/>
        <w:outlineLvl w:val="1"/>
        <w:rPr>
          <w:rFonts w:ascii="Times New Roman" w:eastAsia="Times New Roman" w:hAnsi="Times New Roman" w:cs="Times New Roman"/>
          <w:b/>
          <w:bCs/>
          <w:color w:val="000000"/>
          <w:kern w:val="0"/>
          <w:szCs w:val="24"/>
          <w14:ligatures w14:val="none"/>
        </w:rPr>
      </w:pPr>
      <w:r w:rsidRPr="00C14A68">
        <w:rPr>
          <w:rFonts w:ascii="Times New Roman" w:eastAsia="Times New Roman" w:hAnsi="Times New Roman" w:cs="Times New Roman"/>
          <w:b/>
          <w:bCs/>
          <w:color w:val="000000"/>
          <w:kern w:val="0"/>
          <w:szCs w:val="24"/>
          <w14:ligatures w14:val="none"/>
        </w:rPr>
        <w:t xml:space="preserve">7.2 </w:t>
      </w:r>
      <w:r w:rsidRPr="007919FD">
        <w:rPr>
          <w:rFonts w:ascii="Times New Roman" w:eastAsia="Times New Roman" w:hAnsi="Times New Roman" w:cs="Times New Roman"/>
          <w:b/>
          <w:bCs/>
          <w:color w:val="000000"/>
          <w:kern w:val="0"/>
          <w:szCs w:val="24"/>
          <w14:ligatures w14:val="none"/>
        </w:rPr>
        <w:t>Develop Source-Specific Models</w:t>
      </w:r>
    </w:p>
    <w:p w14:paraId="0CA6FFE0" w14:textId="6601D553" w:rsidR="00C14A68" w:rsidRPr="00C14A68" w:rsidRDefault="00C14A68" w:rsidP="00C14A68">
      <w:pPr>
        <w:pStyle w:val="ListParagraph"/>
        <w:spacing w:before="100" w:beforeAutospacing="1" w:after="100" w:afterAutospacing="1" w:line="240" w:lineRule="auto"/>
        <w:outlineLvl w:val="1"/>
        <w:rPr>
          <w:rFonts w:ascii="Times New Roman" w:eastAsia="Times New Roman" w:hAnsi="Times New Roman" w:cs="Times New Roman"/>
          <w:b/>
          <w:bCs/>
          <w:color w:val="000000"/>
          <w:kern w:val="0"/>
          <w:szCs w:val="24"/>
          <w14:ligatures w14:val="none"/>
        </w:rPr>
      </w:pPr>
      <w:r w:rsidRPr="00C14A68">
        <w:rPr>
          <w:rFonts w:ascii="Times New Roman" w:eastAsia="Times New Roman" w:hAnsi="Times New Roman" w:cs="Times New Roman"/>
          <w:b/>
          <w:bCs/>
          <w:color w:val="000000"/>
          <w:kern w:val="0"/>
          <w:szCs w:val="24"/>
          <w14:ligatures w14:val="none"/>
        </w:rPr>
        <w:t xml:space="preserve">7.3 </w:t>
      </w:r>
      <w:r w:rsidRPr="007919FD">
        <w:rPr>
          <w:rFonts w:ascii="Times New Roman" w:eastAsia="Times New Roman" w:hAnsi="Times New Roman" w:cs="Times New Roman"/>
          <w:b/>
          <w:bCs/>
          <w:color w:val="000000"/>
          <w:kern w:val="0"/>
          <w:szCs w:val="24"/>
          <w14:ligatures w14:val="none"/>
        </w:rPr>
        <w:t>Explore Advanced Deep Learning</w:t>
      </w:r>
    </w:p>
    <w:p w14:paraId="386D44EA" w14:textId="50BB1EBF" w:rsidR="00C14A68" w:rsidRPr="00C14A68" w:rsidRDefault="00C14A68" w:rsidP="00C14A68">
      <w:pPr>
        <w:pStyle w:val="ListParagraph"/>
        <w:spacing w:before="100" w:beforeAutospacing="1" w:after="100" w:afterAutospacing="1" w:line="240" w:lineRule="auto"/>
        <w:outlineLvl w:val="1"/>
        <w:rPr>
          <w:rFonts w:ascii="Times New Roman" w:eastAsia="Times New Roman" w:hAnsi="Times New Roman" w:cs="Times New Roman"/>
          <w:b/>
          <w:bCs/>
          <w:color w:val="000000"/>
          <w:kern w:val="0"/>
          <w:szCs w:val="24"/>
          <w14:ligatures w14:val="none"/>
        </w:rPr>
      </w:pPr>
      <w:r w:rsidRPr="00C14A68">
        <w:rPr>
          <w:rFonts w:ascii="Times New Roman" w:eastAsia="Times New Roman" w:hAnsi="Times New Roman" w:cs="Times New Roman"/>
          <w:b/>
          <w:bCs/>
          <w:color w:val="000000"/>
          <w:kern w:val="0"/>
          <w:szCs w:val="24"/>
          <w14:ligatures w14:val="none"/>
        </w:rPr>
        <w:t xml:space="preserve">7.4 </w:t>
      </w:r>
      <w:r w:rsidRPr="007919FD">
        <w:rPr>
          <w:rFonts w:ascii="Times New Roman" w:eastAsia="Times New Roman" w:hAnsi="Times New Roman" w:cs="Times New Roman"/>
          <w:b/>
          <w:bCs/>
          <w:color w:val="000000"/>
          <w:kern w:val="0"/>
          <w:szCs w:val="24"/>
          <w14:ligatures w14:val="none"/>
        </w:rPr>
        <w:t>Add Regional and Sectoral Detail</w:t>
      </w:r>
      <w:r w:rsidRPr="00C14A68">
        <w:rPr>
          <w:rFonts w:ascii="Times New Roman" w:eastAsia="Times New Roman" w:hAnsi="Times New Roman" w:cs="Times New Roman"/>
          <w:b/>
          <w:bCs/>
          <w:color w:val="000000"/>
          <w:kern w:val="0"/>
          <w:szCs w:val="24"/>
          <w14:ligatures w14:val="none"/>
        </w:rPr>
        <w:t xml:space="preserve">                                                                             </w:t>
      </w:r>
      <w:r w:rsidRPr="007919FD">
        <w:rPr>
          <w:rFonts w:ascii="Times New Roman" w:eastAsia="Times New Roman" w:hAnsi="Times New Roman" w:cs="Times New Roman"/>
          <w:b/>
          <w:bCs/>
          <w:color w:val="000000"/>
          <w:kern w:val="0"/>
          <w:szCs w:val="24"/>
          <w14:ligatures w14:val="none"/>
        </w:rPr>
        <w:t>7.5 Implement Real-Time Updating</w:t>
      </w:r>
      <w:r w:rsidRPr="00C14A68">
        <w:rPr>
          <w:rFonts w:ascii="Times New Roman" w:eastAsia="Times New Roman" w:hAnsi="Times New Roman" w:cs="Times New Roman"/>
          <w:b/>
          <w:bCs/>
          <w:color w:val="000000"/>
          <w:kern w:val="0"/>
          <w:szCs w:val="24"/>
          <w14:ligatures w14:val="none"/>
        </w:rPr>
        <w:t xml:space="preserve">                                                                                  7.6 </w:t>
      </w:r>
      <w:r w:rsidRPr="007919FD">
        <w:rPr>
          <w:rFonts w:ascii="Times New Roman" w:eastAsia="Times New Roman" w:hAnsi="Times New Roman" w:cs="Times New Roman"/>
          <w:b/>
          <w:bCs/>
          <w:color w:val="000000"/>
          <w:kern w:val="0"/>
          <w:szCs w:val="24"/>
          <w14:ligatures w14:val="none"/>
        </w:rPr>
        <w:t>Enhance Probabilistic Forecasting</w:t>
      </w:r>
      <w:r w:rsidRPr="00C14A68">
        <w:rPr>
          <w:rFonts w:ascii="Times New Roman" w:eastAsia="Times New Roman" w:hAnsi="Times New Roman" w:cs="Times New Roman"/>
          <w:b/>
          <w:bCs/>
          <w:color w:val="000000"/>
          <w:kern w:val="0"/>
          <w:szCs w:val="24"/>
          <w14:ligatures w14:val="none"/>
        </w:rPr>
        <w:t xml:space="preserve">                                                                              7.7 </w:t>
      </w:r>
      <w:r w:rsidRPr="007919FD">
        <w:rPr>
          <w:rFonts w:ascii="Times New Roman" w:eastAsia="Times New Roman" w:hAnsi="Times New Roman" w:cs="Times New Roman"/>
          <w:b/>
          <w:bCs/>
          <w:color w:val="000000"/>
          <w:kern w:val="0"/>
          <w:szCs w:val="24"/>
          <w14:ligatures w14:val="none"/>
        </w:rPr>
        <w:t>Apply Causal Methods</w:t>
      </w:r>
    </w:p>
    <w:p w14:paraId="10646426" w14:textId="6C1E44DE" w:rsidR="00C14A68" w:rsidRPr="00C14A68" w:rsidRDefault="00C14A68" w:rsidP="00C14A68">
      <w:pPr>
        <w:spacing w:before="100" w:beforeAutospacing="1" w:after="100" w:afterAutospacing="1" w:line="240" w:lineRule="auto"/>
        <w:outlineLvl w:val="1"/>
        <w:rPr>
          <w:rFonts w:ascii="Times New Roman" w:eastAsia="Times New Roman" w:hAnsi="Times New Roman" w:cs="Times New Roman"/>
          <w:b/>
          <w:bCs/>
          <w:color w:val="000000"/>
          <w:kern w:val="0"/>
          <w:szCs w:val="24"/>
          <w14:ligatures w14:val="none"/>
        </w:rPr>
      </w:pPr>
      <w:r w:rsidRPr="00C14A68">
        <w:rPr>
          <w:rFonts w:ascii="Times New Roman" w:eastAsia="Times New Roman" w:hAnsi="Times New Roman" w:cs="Times New Roman"/>
          <w:b/>
          <w:bCs/>
          <w:color w:val="000000"/>
          <w:kern w:val="0"/>
          <w:szCs w:val="24"/>
          <w14:ligatures w14:val="none"/>
        </w:rPr>
        <w:t xml:space="preserve">      8.  References </w:t>
      </w:r>
    </w:p>
    <w:p w14:paraId="50595CF6" w14:textId="6C900B10" w:rsidR="00C14A68" w:rsidRPr="00C14A68" w:rsidRDefault="00C14A68" w:rsidP="00C14A68">
      <w:pPr>
        <w:spacing w:before="100" w:beforeAutospacing="1" w:after="100" w:afterAutospacing="1" w:line="240" w:lineRule="auto"/>
        <w:outlineLvl w:val="1"/>
        <w:rPr>
          <w:rFonts w:ascii="Times New Roman" w:eastAsia="Times New Roman" w:hAnsi="Times New Roman" w:cs="Times New Roman"/>
          <w:b/>
          <w:bCs/>
          <w:color w:val="000000"/>
          <w:kern w:val="0"/>
          <w:szCs w:val="24"/>
          <w14:ligatures w14:val="none"/>
        </w:rPr>
      </w:pPr>
      <w:r w:rsidRPr="00C14A68">
        <w:rPr>
          <w:rFonts w:ascii="Times New Roman" w:eastAsia="Times New Roman" w:hAnsi="Times New Roman" w:cs="Times New Roman"/>
          <w:b/>
          <w:bCs/>
          <w:color w:val="000000"/>
          <w:kern w:val="0"/>
          <w:szCs w:val="24"/>
          <w14:ligatures w14:val="none"/>
        </w:rPr>
        <w:lastRenderedPageBreak/>
        <w:t xml:space="preserve">      9.  </w:t>
      </w:r>
      <w:r w:rsidRPr="00C14A68">
        <w:rPr>
          <w:b/>
          <w:bCs/>
          <w:szCs w:val="24"/>
        </w:rPr>
        <w:t>APPENDICES</w:t>
      </w:r>
    </w:p>
    <w:p w14:paraId="0D115FFE" w14:textId="77777777" w:rsidR="00C14A68" w:rsidRDefault="00C14A68" w:rsidP="00C14A68">
      <w:pPr>
        <w:pStyle w:val="ListParagraph"/>
        <w:spacing w:before="100" w:beforeAutospacing="1" w:after="100" w:afterAutospacing="1" w:line="240" w:lineRule="auto"/>
        <w:outlineLvl w:val="1"/>
        <w:rPr>
          <w:rFonts w:ascii="Times New Roman" w:eastAsia="Times New Roman" w:hAnsi="Times New Roman" w:cs="Times New Roman"/>
          <w:b/>
          <w:bCs/>
          <w:color w:val="000000"/>
          <w:kern w:val="0"/>
          <w:szCs w:val="24"/>
          <w14:ligatures w14:val="none"/>
        </w:rPr>
      </w:pPr>
    </w:p>
    <w:p w14:paraId="33AC4EE1" w14:textId="77777777" w:rsidR="00C14A68" w:rsidRPr="007919FD" w:rsidRDefault="00C14A68" w:rsidP="00C14A68">
      <w:pPr>
        <w:pStyle w:val="ListParagraph"/>
        <w:spacing w:before="100" w:beforeAutospacing="1" w:after="100" w:afterAutospacing="1" w:line="240" w:lineRule="auto"/>
        <w:outlineLvl w:val="1"/>
        <w:rPr>
          <w:rFonts w:ascii="Times New Roman" w:eastAsia="Times New Roman" w:hAnsi="Times New Roman" w:cs="Times New Roman"/>
          <w:b/>
          <w:bCs/>
          <w:color w:val="000000"/>
          <w:kern w:val="0"/>
          <w:szCs w:val="24"/>
          <w14:ligatures w14:val="none"/>
        </w:rPr>
      </w:pPr>
    </w:p>
    <w:p w14:paraId="7F9A5B80" w14:textId="52F99BD9" w:rsidR="00C14A68" w:rsidRPr="007919FD" w:rsidRDefault="00C14A68" w:rsidP="00C14A68">
      <w:pPr>
        <w:pStyle w:val="ListParagraph"/>
        <w:spacing w:before="100" w:beforeAutospacing="1" w:after="100" w:afterAutospacing="1" w:line="240" w:lineRule="auto"/>
        <w:outlineLvl w:val="1"/>
        <w:rPr>
          <w:rFonts w:ascii="Times New Roman" w:eastAsia="Times New Roman" w:hAnsi="Times New Roman" w:cs="Times New Roman"/>
          <w:b/>
          <w:bCs/>
          <w:color w:val="000000"/>
          <w:kern w:val="0"/>
          <w:szCs w:val="24"/>
          <w14:ligatures w14:val="none"/>
        </w:rPr>
      </w:pPr>
    </w:p>
    <w:p w14:paraId="238F6241" w14:textId="09A9EDF1" w:rsidR="00C14A68" w:rsidRPr="00C14A68" w:rsidRDefault="00C14A68" w:rsidP="00C14A68">
      <w:pPr>
        <w:pStyle w:val="ListParagraph"/>
        <w:spacing w:before="100" w:beforeAutospacing="1" w:after="100" w:afterAutospacing="1" w:line="240" w:lineRule="auto"/>
        <w:outlineLvl w:val="1"/>
        <w:rPr>
          <w:rFonts w:ascii="Times New Roman" w:eastAsia="Times New Roman" w:hAnsi="Times New Roman" w:cs="Times New Roman"/>
          <w:b/>
          <w:bCs/>
          <w:color w:val="000000"/>
          <w:kern w:val="0"/>
          <w:szCs w:val="24"/>
          <w14:ligatures w14:val="none"/>
        </w:rPr>
      </w:pPr>
    </w:p>
    <w:p w14:paraId="3888A97F" w14:textId="3E5F0CDF" w:rsidR="00B6050E" w:rsidRDefault="00B6050E" w:rsidP="00C14A68">
      <w:pPr>
        <w:pStyle w:val="ListParagraph"/>
        <w:spacing w:before="100" w:beforeAutospacing="1" w:after="100" w:afterAutospacing="1" w:line="240" w:lineRule="auto"/>
        <w:outlineLvl w:val="1"/>
        <w:rPr>
          <w:rFonts w:ascii="Times New Roman" w:eastAsia="Times New Roman" w:hAnsi="Times New Roman" w:cs="Times New Roman"/>
          <w:b/>
          <w:bCs/>
          <w:color w:val="000000"/>
          <w:kern w:val="0"/>
          <w:szCs w:val="24"/>
          <w14:ligatures w14:val="none"/>
        </w:rPr>
      </w:pPr>
      <w:r>
        <w:rPr>
          <w:rFonts w:ascii="Times New Roman" w:eastAsia="Times New Roman" w:hAnsi="Times New Roman" w:cs="Times New Roman"/>
          <w:b/>
          <w:bCs/>
          <w:color w:val="000000"/>
          <w:kern w:val="0"/>
          <w:szCs w:val="24"/>
          <w14:ligatures w14:val="none"/>
        </w:rPr>
        <w:tab/>
      </w:r>
      <w:r>
        <w:rPr>
          <w:rFonts w:ascii="Times New Roman" w:eastAsia="Times New Roman" w:hAnsi="Times New Roman" w:cs="Times New Roman"/>
          <w:b/>
          <w:bCs/>
          <w:color w:val="000000"/>
          <w:kern w:val="0"/>
          <w:szCs w:val="24"/>
          <w14:ligatures w14:val="none"/>
        </w:rPr>
        <w:tab/>
      </w:r>
      <w:r>
        <w:rPr>
          <w:rFonts w:ascii="Times New Roman" w:eastAsia="Times New Roman" w:hAnsi="Times New Roman" w:cs="Times New Roman"/>
          <w:b/>
          <w:bCs/>
          <w:color w:val="000000"/>
          <w:kern w:val="0"/>
          <w:szCs w:val="24"/>
          <w14:ligatures w14:val="none"/>
        </w:rPr>
        <w:tab/>
      </w:r>
      <w:r>
        <w:rPr>
          <w:rFonts w:ascii="Times New Roman" w:eastAsia="Times New Roman" w:hAnsi="Times New Roman" w:cs="Times New Roman"/>
          <w:b/>
          <w:bCs/>
          <w:color w:val="000000"/>
          <w:kern w:val="0"/>
          <w:szCs w:val="24"/>
          <w14:ligatures w14:val="none"/>
        </w:rPr>
        <w:tab/>
      </w:r>
      <w:r>
        <w:rPr>
          <w:rFonts w:ascii="Times New Roman" w:eastAsia="Times New Roman" w:hAnsi="Times New Roman" w:cs="Times New Roman"/>
          <w:b/>
          <w:bCs/>
          <w:color w:val="000000"/>
          <w:kern w:val="0"/>
          <w:szCs w:val="24"/>
          <w14:ligatures w14:val="none"/>
        </w:rPr>
        <w:tab/>
      </w:r>
      <w:r>
        <w:rPr>
          <w:rFonts w:ascii="Times New Roman" w:eastAsia="Times New Roman" w:hAnsi="Times New Roman" w:cs="Times New Roman"/>
          <w:b/>
          <w:bCs/>
          <w:color w:val="000000"/>
          <w:kern w:val="0"/>
          <w:szCs w:val="24"/>
          <w14:ligatures w14:val="none"/>
        </w:rPr>
        <w:tab/>
      </w:r>
      <w:r>
        <w:rPr>
          <w:rFonts w:ascii="Times New Roman" w:eastAsia="Times New Roman" w:hAnsi="Times New Roman" w:cs="Times New Roman"/>
          <w:b/>
          <w:bCs/>
          <w:color w:val="000000"/>
          <w:kern w:val="0"/>
          <w:szCs w:val="24"/>
          <w14:ligatures w14:val="none"/>
        </w:rPr>
        <w:tab/>
      </w:r>
    </w:p>
    <w:p w14:paraId="08847D57" w14:textId="4228C857" w:rsidR="008D11D2" w:rsidRPr="00C14A68" w:rsidRDefault="008D11D2" w:rsidP="00C14A68">
      <w:p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r w:rsidRPr="00C14A68">
        <w:rPr>
          <w:b/>
          <w:bCs/>
          <w:szCs w:val="24"/>
        </w:rPr>
        <w:t>EXECUTIVE SUMMARY</w:t>
      </w:r>
    </w:p>
    <w:p w14:paraId="0B885729" w14:textId="77777777" w:rsidR="008D11D2" w:rsidRPr="00C14A68" w:rsidRDefault="008D11D2" w:rsidP="007A2C78">
      <w:pPr>
        <w:pStyle w:val="font-claude-response-body"/>
        <w:rPr>
          <w:rStyle w:val="Strong"/>
          <w:rFonts w:eastAsiaTheme="majorEastAsia"/>
          <w:color w:val="000000"/>
        </w:rPr>
      </w:pPr>
    </w:p>
    <w:p w14:paraId="51431597" w14:textId="66349D6D" w:rsidR="007A2C78" w:rsidRPr="00C14A68" w:rsidRDefault="007A2C78" w:rsidP="007A2C78">
      <w:pPr>
        <w:pStyle w:val="font-claude-response-body"/>
        <w:rPr>
          <w:color w:val="000000"/>
        </w:rPr>
      </w:pPr>
      <w:r w:rsidRPr="00C14A68">
        <w:rPr>
          <w:rStyle w:val="Strong"/>
          <w:rFonts w:eastAsiaTheme="majorEastAsia"/>
          <w:color w:val="000000"/>
        </w:rPr>
        <w:t>BUSINESS PROBLEM</w:t>
      </w:r>
    </w:p>
    <w:p w14:paraId="15A029DC" w14:textId="77777777" w:rsidR="007A2C78" w:rsidRPr="00C14A68" w:rsidRDefault="007A2C78" w:rsidP="007A2C78">
      <w:pPr>
        <w:pStyle w:val="font-claude-response-body"/>
        <w:rPr>
          <w:color w:val="000000"/>
        </w:rPr>
      </w:pPr>
      <w:r w:rsidRPr="00C14A68">
        <w:rPr>
          <w:color w:val="000000"/>
        </w:rPr>
        <w:t xml:space="preserve">Getting accurate forecasts for renewable energy consumption matters a lot right now. Policy makers need these projections when they're deciding where to invest in infrastructure. Utility companies use them for planning. Investors rely on them when making decisions about projects worth billions of dollars. </w:t>
      </w:r>
      <w:proofErr w:type="gramStart"/>
      <w:r w:rsidRPr="00C14A68">
        <w:rPr>
          <w:color w:val="000000"/>
        </w:rPr>
        <w:t>All of</w:t>
      </w:r>
      <w:proofErr w:type="gramEnd"/>
      <w:r w:rsidRPr="00C14A68">
        <w:rPr>
          <w:color w:val="000000"/>
        </w:rPr>
        <w:t xml:space="preserve"> these stakeholders need reliable numbers as the U.S. moves toward cleaner energy sources.</w:t>
      </w:r>
    </w:p>
    <w:p w14:paraId="3C7294E5" w14:textId="77777777" w:rsidR="007A2C78" w:rsidRPr="00C14A68" w:rsidRDefault="007A2C78" w:rsidP="007A2C78">
      <w:pPr>
        <w:pStyle w:val="font-claude-response-body"/>
        <w:rPr>
          <w:color w:val="000000"/>
        </w:rPr>
      </w:pPr>
      <w:r w:rsidRPr="00C14A68">
        <w:rPr>
          <w:color w:val="000000"/>
        </w:rPr>
        <w:t>The challenge is that forecasting renewable energy isn't straightforward. Growth patterns get influenced by new technologies coming online, changes in government policies, and shifting economic conditions. All these factors interact in complex ways, which makes predicting long-term trends difficult. This project tackles that challenge by building and comparing six different forecasting models using over 50 years of historical data.</w:t>
      </w:r>
    </w:p>
    <w:p w14:paraId="12C6E2F8" w14:textId="77777777" w:rsidR="007A2C78" w:rsidRPr="00C14A68" w:rsidRDefault="007A2C78" w:rsidP="007A2C78">
      <w:pPr>
        <w:pStyle w:val="font-claude-response-body"/>
        <w:rPr>
          <w:color w:val="000000"/>
        </w:rPr>
      </w:pPr>
      <w:r w:rsidRPr="00C14A68">
        <w:rPr>
          <w:rStyle w:val="Strong"/>
          <w:rFonts w:eastAsiaTheme="majorEastAsia"/>
          <w:color w:val="000000"/>
        </w:rPr>
        <w:t>ANALYTICAL APPROACH</w:t>
      </w:r>
    </w:p>
    <w:p w14:paraId="72FE0C66" w14:textId="77777777" w:rsidR="007A2C78" w:rsidRPr="00C14A68" w:rsidRDefault="007A2C78" w:rsidP="007A2C78">
      <w:pPr>
        <w:pStyle w:val="font-claude-response-body"/>
        <w:rPr>
          <w:color w:val="000000"/>
        </w:rPr>
      </w:pPr>
      <w:r w:rsidRPr="00C14A68">
        <w:rPr>
          <w:color w:val="000000"/>
        </w:rPr>
        <w:t>For this analysis, I worked with monthly U.S. renewable energy consumption data from the Energy Information Administration covering January 1973 through November 2024—that's 613 data points total. I built six different predictive models, each using a different approach: Linear Regression, Random Forest, Gradient Boosting, Support Vector Regression, Neural Networks, and ARIMA time series analysis.</w:t>
      </w:r>
    </w:p>
    <w:p w14:paraId="172E89C3" w14:textId="77777777" w:rsidR="007A2C78" w:rsidRPr="00C14A68" w:rsidRDefault="007A2C78" w:rsidP="007A2C78">
      <w:pPr>
        <w:pStyle w:val="font-claude-response-body"/>
        <w:rPr>
          <w:color w:val="000000"/>
        </w:rPr>
      </w:pPr>
      <w:r w:rsidRPr="00C14A68">
        <w:rPr>
          <w:color w:val="000000"/>
        </w:rPr>
        <w:t>To improve prediction accuracy, I created 15 new features from the original data. These included lag variables (looking at consumption from previous months), rolling statistics (like 3-month and 6-month averages), and cyclical patterns (capturing seasonal effects).</w:t>
      </w:r>
    </w:p>
    <w:p w14:paraId="6F67B61C" w14:textId="77777777" w:rsidR="007A2C78" w:rsidRPr="00C14A68" w:rsidRDefault="007A2C78" w:rsidP="007A2C78">
      <w:pPr>
        <w:pStyle w:val="font-claude-response-body"/>
        <w:rPr>
          <w:color w:val="000000"/>
        </w:rPr>
      </w:pPr>
      <w:r w:rsidRPr="00C14A68">
        <w:rPr>
          <w:color w:val="000000"/>
        </w:rPr>
        <w:t xml:space="preserve">I was careful about how I tested the models. I trained them on data from 1973 to 2019, then tested their predictions on the 2020-2024 period. This temporal split is important—it prevents data leakage and gives a realistic measure of how well the models would </w:t>
      </w:r>
      <w:proofErr w:type="gramStart"/>
      <w:r w:rsidRPr="00C14A68">
        <w:rPr>
          <w:color w:val="000000"/>
        </w:rPr>
        <w:t>actually perform</w:t>
      </w:r>
      <w:proofErr w:type="gramEnd"/>
      <w:r w:rsidRPr="00C14A68">
        <w:rPr>
          <w:color w:val="000000"/>
        </w:rPr>
        <w:t xml:space="preserve"> when forecasting into the future.</w:t>
      </w:r>
    </w:p>
    <w:p w14:paraId="29F0EA3B" w14:textId="77777777" w:rsidR="00674A86" w:rsidRPr="00C14A68" w:rsidRDefault="00674A86" w:rsidP="007A2C78">
      <w:pPr>
        <w:pStyle w:val="font-claude-response-body"/>
        <w:rPr>
          <w:color w:val="000000"/>
        </w:rPr>
      </w:pPr>
    </w:p>
    <w:p w14:paraId="5413A011" w14:textId="77777777" w:rsidR="00674A86" w:rsidRPr="00C14A68" w:rsidRDefault="00674A86" w:rsidP="00674A86">
      <w:pPr>
        <w:pStyle w:val="font-claude-response-body"/>
        <w:rPr>
          <w:color w:val="000000"/>
        </w:rPr>
      </w:pPr>
      <w:r w:rsidRPr="00C14A68">
        <w:rPr>
          <w:rStyle w:val="Strong"/>
          <w:rFonts w:eastAsiaTheme="majorEastAsia"/>
          <w:color w:val="000000"/>
        </w:rPr>
        <w:t>KEY FINDINGS AND BUSINESS INSIGHTS</w:t>
      </w:r>
    </w:p>
    <w:p w14:paraId="68980BBF" w14:textId="77777777" w:rsidR="00ED7D24" w:rsidRPr="00C14A68" w:rsidRDefault="00ED7D24" w:rsidP="00ED7D24">
      <w:pPr>
        <w:pStyle w:val="font-claude-response-body"/>
        <w:rPr>
          <w:color w:val="000000"/>
        </w:rPr>
      </w:pPr>
      <w:r w:rsidRPr="00C14A68">
        <w:rPr>
          <w:rStyle w:val="Strong"/>
          <w:rFonts w:eastAsiaTheme="majorEastAsia"/>
          <w:color w:val="000000"/>
        </w:rPr>
        <w:lastRenderedPageBreak/>
        <w:t>Model Performance:</w:t>
      </w:r>
      <w:r w:rsidRPr="00C14A68">
        <w:rPr>
          <w:rStyle w:val="apple-converted-space"/>
          <w:rFonts w:eastAsiaTheme="majorEastAsia"/>
          <w:color w:val="000000"/>
        </w:rPr>
        <w:t> </w:t>
      </w:r>
      <w:r w:rsidRPr="00C14A68">
        <w:rPr>
          <w:color w:val="000000"/>
        </w:rPr>
        <w:t>The Linear Regression model with engineered features ended up performing best, achieving an R² of 0.8135 with prediction errors around 2.06% (MAPE). This was significantly better than the other approaches I tested—Random Forest only reached R² = 0.32, Gradient Boosting hit 0.18, and the Neural Network achieved 0.46. These results suggest that investing time in feature engineering can be more valuable than selecting complex algorithms, which has practical implications for analytics teams working with limited resources.</w:t>
      </w:r>
    </w:p>
    <w:p w14:paraId="2C077E5F" w14:textId="77777777" w:rsidR="00ED7D24" w:rsidRPr="00C14A68" w:rsidRDefault="00ED7D24" w:rsidP="00ED7D24">
      <w:pPr>
        <w:pStyle w:val="font-claude-response-body"/>
        <w:rPr>
          <w:color w:val="000000"/>
        </w:rPr>
      </w:pPr>
      <w:r w:rsidRPr="00C14A68">
        <w:rPr>
          <w:rStyle w:val="Strong"/>
          <w:rFonts w:eastAsiaTheme="majorEastAsia"/>
          <w:color w:val="000000"/>
        </w:rPr>
        <w:t>Portfolio Transformation:</w:t>
      </w:r>
      <w:r w:rsidRPr="00C14A68">
        <w:rPr>
          <w:rStyle w:val="apple-converted-space"/>
          <w:rFonts w:eastAsiaTheme="majorEastAsia"/>
          <w:color w:val="000000"/>
        </w:rPr>
        <w:t> </w:t>
      </w:r>
      <w:r w:rsidRPr="00C14A68">
        <w:rPr>
          <w:color w:val="000000"/>
        </w:rPr>
        <w:t>Over the past 50 years, the U.S. renewable energy mix has undergone major restructuring. Hydroelectric power, once the dominant source, declined 63% since 1973. Meanwhile, newer technologies grew rapidly: geothermal increased by 1,950%, solar expanded exponentially after 2010, wind showed steady growth, and biomass grew 274%. When I examined the correlations between these sources, modern renewables showed strong positive relationships (r &gt; 0.68), suggesting they respond to similar policy and market drivers. Hydroelectric, however, showed negative correlations with these emerging technologies (r = -0.45 to -0.62).</w:t>
      </w:r>
    </w:p>
    <w:p w14:paraId="3687D023" w14:textId="77777777" w:rsidR="00ED7D24" w:rsidRPr="00C14A68" w:rsidRDefault="00ED7D24" w:rsidP="00ED7D24">
      <w:pPr>
        <w:pStyle w:val="font-claude-response-body"/>
        <w:rPr>
          <w:color w:val="000000"/>
        </w:rPr>
      </w:pPr>
      <w:r w:rsidRPr="00C14A68">
        <w:rPr>
          <w:rStyle w:val="Strong"/>
          <w:rFonts w:eastAsiaTheme="majorEastAsia"/>
          <w:color w:val="000000"/>
        </w:rPr>
        <w:t>Predictive Insights:</w:t>
      </w:r>
      <w:r w:rsidRPr="00C14A68">
        <w:rPr>
          <w:rStyle w:val="apple-converted-space"/>
          <w:rFonts w:eastAsiaTheme="majorEastAsia"/>
          <w:color w:val="000000"/>
        </w:rPr>
        <w:t> </w:t>
      </w:r>
      <w:r w:rsidRPr="00C14A68">
        <w:rPr>
          <w:color w:val="000000"/>
        </w:rPr>
        <w:t>The feature importance analysis produced a clear result: the 3-month rolling mean dominated with 71% of the model's predictive power, while the 12-month lag contributed 12%. This pattern indicates that recent trends matter more than long-term historical patterns for forecasting renewable energy consumption. For practical applications, this means models that continuously update with rolling windows would likely perform better for operational planning than those relying heavily on distant historical data.</w:t>
      </w:r>
    </w:p>
    <w:p w14:paraId="1348AF73" w14:textId="7184C03F" w:rsidR="00ED7D24" w:rsidRPr="00C14A68" w:rsidRDefault="00326AA4" w:rsidP="00ED7D24">
      <w:pPr>
        <w:pStyle w:val="font-claude-response-body"/>
        <w:rPr>
          <w:color w:val="000000"/>
        </w:rPr>
      </w:pPr>
      <w:r w:rsidRPr="00C14A68">
        <w:rPr>
          <w:rStyle w:val="Strong"/>
          <w:rFonts w:eastAsiaTheme="majorEastAsia"/>
          <w:color w:val="000000"/>
        </w:rPr>
        <w:t>Five-Year Forecast:</w:t>
      </w:r>
      <w:r w:rsidRPr="00C14A68">
        <w:rPr>
          <w:rStyle w:val="apple-converted-space"/>
          <w:rFonts w:ascii="-webkit-standard" w:eastAsiaTheme="majorEastAsia" w:hAnsi="-webkit-standard"/>
          <w:color w:val="000000"/>
        </w:rPr>
        <w:t> </w:t>
      </w:r>
      <w:r w:rsidRPr="00C14A68">
        <w:rPr>
          <w:rFonts w:ascii="-webkit-standard" w:hAnsi="-webkit-standard"/>
          <w:color w:val="000000"/>
        </w:rPr>
        <w:t>Based on the ensemble model, renewable energy consumption is projected to grow from a 2024 baseline of</w:t>
      </w:r>
      <w:r w:rsidRPr="00C14A68">
        <w:rPr>
          <w:rStyle w:val="apple-converted-space"/>
          <w:rFonts w:ascii="-webkit-standard" w:eastAsiaTheme="majorEastAsia" w:hAnsi="-webkit-standard"/>
          <w:color w:val="000000"/>
        </w:rPr>
        <w:t> </w:t>
      </w:r>
      <w:r w:rsidRPr="00C14A68">
        <w:rPr>
          <w:rStyle w:val="Strong"/>
          <w:rFonts w:ascii="Calibri" w:eastAsiaTheme="majorEastAsia" w:hAnsi="Calibri" w:cs="Calibri"/>
          <w:b w:val="0"/>
          <w:bCs w:val="0"/>
          <w:color w:val="000000"/>
        </w:rPr>
        <w:t>521.76 trillion BTUs</w:t>
      </w:r>
      <w:r w:rsidRPr="00C14A68">
        <w:rPr>
          <w:rFonts w:ascii="Calibri" w:hAnsi="Calibri" w:cs="Calibri"/>
          <w:b/>
          <w:bCs/>
          <w:color w:val="000000"/>
        </w:rPr>
        <w:t>¹</w:t>
      </w:r>
      <w:r w:rsidRPr="00C14A68">
        <w:rPr>
          <w:rFonts w:ascii="-webkit-standard" w:hAnsi="-webkit-standard"/>
          <w:color w:val="000000"/>
        </w:rPr>
        <w:t xml:space="preserve"> to 533.38 trillion BTUs by 2029. This represents total growth of 2.23%, or approximately 0.45% annually. The forecast is relatively conservative, reflecting several factors: market maturation as renewable capacity approaches infrastructure limits, grid integration challenges, and the natural slowdown that occurs as technologies mature. The confidence intervals are approximately ±50 trillion BTUs (±9.4%), which underscores the uncertainty inherent in long-term energy forecasting</w:t>
      </w:r>
      <w:r w:rsidR="00ED7D24" w:rsidRPr="00C14A68">
        <w:rPr>
          <w:color w:val="000000"/>
        </w:rPr>
        <w:t>.</w:t>
      </w:r>
    </w:p>
    <w:p w14:paraId="667F955C" w14:textId="77777777" w:rsidR="00ED7D24" w:rsidRPr="00C14A68" w:rsidRDefault="00ED7D24" w:rsidP="00ED7D24">
      <w:pPr>
        <w:pStyle w:val="font-claude-response-body"/>
        <w:rPr>
          <w:color w:val="000000"/>
        </w:rPr>
      </w:pPr>
      <w:r w:rsidRPr="00C14A68">
        <w:rPr>
          <w:rStyle w:val="Strong"/>
          <w:rFonts w:eastAsiaTheme="majorEastAsia"/>
          <w:color w:val="000000"/>
        </w:rPr>
        <w:t>STRATEGIC RECOMMENDATIONS</w:t>
      </w:r>
    </w:p>
    <w:p w14:paraId="4791C84F" w14:textId="77777777" w:rsidR="00ED7D24" w:rsidRPr="00C14A68" w:rsidRDefault="00ED7D24" w:rsidP="00ED7D24">
      <w:pPr>
        <w:pStyle w:val="font-claude-response-body"/>
        <w:rPr>
          <w:color w:val="000000"/>
        </w:rPr>
      </w:pPr>
      <w:r w:rsidRPr="00C14A68">
        <w:rPr>
          <w:rStyle w:val="Strong"/>
          <w:rFonts w:eastAsiaTheme="majorEastAsia"/>
          <w:color w:val="000000"/>
        </w:rPr>
        <w:t>For Policy Makers:</w:t>
      </w:r>
      <w:r w:rsidRPr="00C14A68">
        <w:rPr>
          <w:rStyle w:val="apple-converted-space"/>
          <w:rFonts w:eastAsiaTheme="majorEastAsia"/>
          <w:color w:val="000000"/>
        </w:rPr>
        <w:t> </w:t>
      </w:r>
      <w:r w:rsidRPr="00C14A68">
        <w:rPr>
          <w:color w:val="000000"/>
        </w:rPr>
        <w:t>The forecasted growth rate of 2.23% through 2029 falls well short of what's needed to achieve 50% emissions reductions by 2030. Meeting Paris Agreement targets will require stronger policy interventions than current trajectories suggest—options include enhanced tax credits, carbon pricing mechanisms, or stricter regulatory mandates. There's also a risk in the current heavy focus on solar and wind. Supporting geothermal and advanced biomass technologies would provide better diversification, given that solar and wind are highly correlated.</w:t>
      </w:r>
    </w:p>
    <w:p w14:paraId="3EBE4907" w14:textId="77777777" w:rsidR="00ED7D24" w:rsidRPr="00C14A68" w:rsidRDefault="00ED7D24" w:rsidP="00ED7D24">
      <w:pPr>
        <w:pStyle w:val="font-claude-response-body"/>
        <w:rPr>
          <w:color w:val="000000"/>
        </w:rPr>
      </w:pPr>
      <w:r w:rsidRPr="00C14A68">
        <w:rPr>
          <w:rStyle w:val="Strong"/>
          <w:rFonts w:eastAsiaTheme="majorEastAsia"/>
          <w:color w:val="000000"/>
        </w:rPr>
        <w:t>For Energy Companies:</w:t>
      </w:r>
      <w:r w:rsidRPr="00C14A68">
        <w:rPr>
          <w:rStyle w:val="apple-converted-space"/>
          <w:rFonts w:eastAsiaTheme="majorEastAsia"/>
          <w:color w:val="000000"/>
        </w:rPr>
        <w:t> </w:t>
      </w:r>
      <w:r w:rsidRPr="00C14A68">
        <w:rPr>
          <w:color w:val="000000"/>
        </w:rPr>
        <w:t xml:space="preserve">From an investment perspective, solar and wind remain the strongest opportunities given their growth momentum and improving cost competitiveness. However, companies should plan for eventual market saturation as growth rates moderate. The seasonal patterns identified in this analysis—consumption peaks in winter and troughs in September—can </w:t>
      </w:r>
      <w:r w:rsidRPr="00C14A68">
        <w:rPr>
          <w:color w:val="000000"/>
        </w:rPr>
        <w:lastRenderedPageBreak/>
        <w:t>inform decisions about maintenance timing and operational optimization. One important consideration: because modern renewables are highly correlated (r &gt; 0.68), achieving true portfolio diversification will require either energy storage solutions or dispatchable generation capacity, not just mixing different renewable sources.</w:t>
      </w:r>
    </w:p>
    <w:p w14:paraId="25047294" w14:textId="77777777" w:rsidR="00ED7D24" w:rsidRPr="00C14A68" w:rsidRDefault="00ED7D24" w:rsidP="00ED7D24">
      <w:pPr>
        <w:pStyle w:val="font-claude-response-body"/>
        <w:rPr>
          <w:color w:val="000000"/>
        </w:rPr>
      </w:pPr>
      <w:r w:rsidRPr="00C14A68">
        <w:rPr>
          <w:rStyle w:val="Strong"/>
          <w:rFonts w:eastAsiaTheme="majorEastAsia"/>
          <w:color w:val="000000"/>
        </w:rPr>
        <w:t>For Analysts and Researchers:</w:t>
      </w:r>
      <w:r w:rsidRPr="00C14A68">
        <w:rPr>
          <w:rStyle w:val="apple-converted-space"/>
          <w:rFonts w:eastAsiaTheme="majorEastAsia"/>
          <w:color w:val="000000"/>
        </w:rPr>
        <w:t> </w:t>
      </w:r>
      <w:r w:rsidRPr="00C14A68">
        <w:rPr>
          <w:color w:val="000000"/>
        </w:rPr>
        <w:t>This project reinforced an important methodological point: feature engineering can matter more than algorithm selection. The simple Linear Regression model with carefully designed features (R² = 0.81) substantially outperformed more sophisticated algorithms working with raw data (R² &lt; 0.5). Additionally, temporal validation is critical for time series work—it's easy to accidentally introduce data leakage when creating features. Finally, relying on a single performance metric can be misleading. Evaluating models across multiple measures (R², RMSE, MAE, MAPE) provided a more complete picture of model performance.</w:t>
      </w:r>
    </w:p>
    <w:p w14:paraId="36AC53DC" w14:textId="77777777" w:rsidR="00ED7D24" w:rsidRPr="00C14A68" w:rsidRDefault="00ED7D24" w:rsidP="00ED7D24">
      <w:pPr>
        <w:pStyle w:val="font-claude-response-body"/>
        <w:rPr>
          <w:color w:val="000000"/>
        </w:rPr>
      </w:pPr>
      <w:r w:rsidRPr="00C14A68">
        <w:rPr>
          <w:rStyle w:val="Strong"/>
          <w:rFonts w:eastAsiaTheme="majorEastAsia"/>
          <w:color w:val="000000"/>
        </w:rPr>
        <w:t>VALUE PROPOSITION AND IMPACT</w:t>
      </w:r>
    </w:p>
    <w:p w14:paraId="0C19EC54" w14:textId="77777777" w:rsidR="00ED7D24" w:rsidRPr="00C14A68" w:rsidRDefault="00ED7D24" w:rsidP="00ED7D24">
      <w:pPr>
        <w:pStyle w:val="font-claude-response-body"/>
        <w:rPr>
          <w:color w:val="000000"/>
        </w:rPr>
      </w:pPr>
      <w:r w:rsidRPr="00C14A68">
        <w:rPr>
          <w:color w:val="000000"/>
        </w:rPr>
        <w:t>This analysis provides practical value for several stakeholder groups. Policy makers can use these findings to assess whether current renewable adoption rates align with stated climate commitments. Utility companies gain insights for capacity planning, grid management, and seasonal resource optimization. Investors receive quantified projections with confidence intervals for risk assessment in portfolios that often involve billions of dollars. From a methodological perspective, the finding that simple models with good feature engineering outperform complex alternatives challenges some common assumptions about needing the most sophisticated algorithms.</w:t>
      </w:r>
    </w:p>
    <w:p w14:paraId="598BF7FB" w14:textId="77777777" w:rsidR="00ED7D24" w:rsidRPr="00C14A68" w:rsidRDefault="00ED7D24" w:rsidP="00ED7D24">
      <w:pPr>
        <w:pStyle w:val="font-claude-response-body"/>
        <w:rPr>
          <w:color w:val="000000"/>
        </w:rPr>
      </w:pPr>
      <w:r w:rsidRPr="00C14A68">
        <w:rPr>
          <w:color w:val="000000"/>
        </w:rPr>
        <w:t>The forecasting models developed here can be deployed immediately. The 5-year projections with confidence intervals support scenario planning under different assumptions—faster growth than projected, slower growth, or trajectories that match the forecast. Perhaps most importantly, quantifying the gap between current growth trends and climate targets provides concrete evidence for policy discussions about the need for stronger interventions.</w:t>
      </w:r>
    </w:p>
    <w:p w14:paraId="69B52B21" w14:textId="77777777" w:rsidR="00ED7D24" w:rsidRPr="00C14A68" w:rsidRDefault="00ED7D24" w:rsidP="00ED7D24">
      <w:pPr>
        <w:pStyle w:val="font-claude-response-body"/>
        <w:rPr>
          <w:color w:val="000000"/>
        </w:rPr>
      </w:pPr>
      <w:r w:rsidRPr="00C14A68">
        <w:rPr>
          <w:rStyle w:val="Strong"/>
          <w:rFonts w:eastAsiaTheme="majorEastAsia"/>
          <w:color w:val="000000"/>
        </w:rPr>
        <w:t>CONCLUSION</w:t>
      </w:r>
    </w:p>
    <w:p w14:paraId="66446DBF" w14:textId="77777777" w:rsidR="00ED7D24" w:rsidRPr="00C14A68" w:rsidRDefault="00ED7D24" w:rsidP="00ED7D24">
      <w:pPr>
        <w:pStyle w:val="font-claude-response-body"/>
        <w:rPr>
          <w:color w:val="000000"/>
        </w:rPr>
      </w:pPr>
      <w:r w:rsidRPr="00C14A68">
        <w:rPr>
          <w:color w:val="000000"/>
        </w:rPr>
        <w:t>This capstone project achieved its primary objective of developing accurate renewable energy forecasts while also uncovering patterns in how the U.S. energy system is evolving. The model performance (R² = 0.8135) demonstrates that traditional statistical methods, when combined with thoughtful feature engineering, can effectively forecast complex energy systems. The relatively modest projected growth rate of 2.23% through 2029 appears to signal market maturation, which has implications for whether current policies will be sufficient to meet climate goals. The analysis drew on six different modeling approaches, generated 16 visualizations, and covered 51 years of historical data, providing a comprehensive foundation for strategic planning. The results should be useful for policy makers, energy companies, and investors working to navigate the ongoing renewable energy transition.</w:t>
      </w:r>
    </w:p>
    <w:p w14:paraId="4CF82828" w14:textId="3A58B073" w:rsidR="00B44E6E" w:rsidRPr="00C14A68" w:rsidRDefault="00B44E6E" w:rsidP="00B44E6E">
      <w:pPr>
        <w:spacing w:after="600"/>
        <w:rPr>
          <w:rFonts w:ascii="Calibri" w:hAnsi="Calibri" w:cs="Calibri"/>
          <w:szCs w:val="24"/>
        </w:rPr>
      </w:pPr>
    </w:p>
    <w:p w14:paraId="5850E3BB" w14:textId="77777777" w:rsidR="00ED7D24" w:rsidRPr="00C14A68" w:rsidRDefault="00ED7D24" w:rsidP="00B44E6E">
      <w:pPr>
        <w:spacing w:after="600"/>
        <w:rPr>
          <w:rFonts w:ascii="Calibri" w:hAnsi="Calibri" w:cs="Calibri"/>
          <w:szCs w:val="24"/>
        </w:rPr>
      </w:pPr>
    </w:p>
    <w:p w14:paraId="757BE401" w14:textId="77777777" w:rsidR="00ED7D24" w:rsidRPr="00C14A68" w:rsidRDefault="00ED7D24" w:rsidP="00B44E6E">
      <w:pPr>
        <w:spacing w:after="600"/>
        <w:rPr>
          <w:rFonts w:ascii="Calibri" w:hAnsi="Calibri" w:cs="Calibri"/>
          <w:szCs w:val="24"/>
        </w:rPr>
      </w:pPr>
    </w:p>
    <w:p w14:paraId="33FC404A" w14:textId="77777777" w:rsidR="00ED7D24" w:rsidRPr="00C14A68" w:rsidRDefault="00ED7D24" w:rsidP="00B44E6E">
      <w:pPr>
        <w:spacing w:after="600"/>
        <w:rPr>
          <w:rFonts w:ascii="Calibri" w:hAnsi="Calibri" w:cs="Calibri"/>
          <w:szCs w:val="24"/>
        </w:rPr>
      </w:pPr>
    </w:p>
    <w:p w14:paraId="5D08A24F" w14:textId="77777777" w:rsidR="00ED7D24" w:rsidRPr="00ED7D24" w:rsidRDefault="00ED7D24" w:rsidP="00ED7D24">
      <w:pPr>
        <w:spacing w:before="100" w:beforeAutospacing="1" w:after="100" w:afterAutospacing="1" w:line="240" w:lineRule="auto"/>
        <w:outlineLvl w:val="1"/>
        <w:rPr>
          <w:rFonts w:ascii="Times New Roman" w:eastAsia="Times New Roman" w:hAnsi="Times New Roman" w:cs="Times New Roman"/>
          <w:b/>
          <w:bCs/>
          <w:color w:val="000000"/>
          <w:kern w:val="0"/>
          <w:szCs w:val="24"/>
          <w14:ligatures w14:val="none"/>
        </w:rPr>
      </w:pPr>
      <w:r w:rsidRPr="00ED7D24">
        <w:rPr>
          <w:rFonts w:ascii="Times New Roman" w:eastAsia="Times New Roman" w:hAnsi="Times New Roman" w:cs="Times New Roman"/>
          <w:b/>
          <w:bCs/>
          <w:color w:val="000000"/>
          <w:kern w:val="0"/>
          <w:szCs w:val="24"/>
          <w14:ligatures w14:val="none"/>
        </w:rPr>
        <w:t>1. OBJECTIVES</w:t>
      </w:r>
    </w:p>
    <w:p w14:paraId="2F478E23" w14:textId="77777777" w:rsidR="00ED7D24" w:rsidRPr="00ED7D24" w:rsidRDefault="00ED7D24" w:rsidP="00ED7D24">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ED7D24">
        <w:rPr>
          <w:rFonts w:ascii="Times New Roman" w:eastAsia="Times New Roman" w:hAnsi="Times New Roman" w:cs="Times New Roman"/>
          <w:color w:val="000000"/>
          <w:kern w:val="0"/>
          <w:szCs w:val="24"/>
          <w14:ligatures w14:val="none"/>
        </w:rPr>
        <w:t>The main goal of this capstone project is to develop accurate predictive models for U.S. renewable energy consumption using machine learning and statistical techniques. With climate concerns growing and nations committing to carbon emission reductions, accurate forecasts of renewable energy adoption have become essential for infrastructure planning, policy decisions, and investment strategies. This project addresses these needs by comparing multiple forecasting approaches to identify which methods work best for long-term energy prediction.</w:t>
      </w:r>
    </w:p>
    <w:p w14:paraId="67249B98" w14:textId="77777777" w:rsidR="00ED7D24" w:rsidRPr="00ED7D24" w:rsidRDefault="00ED7D24" w:rsidP="00ED7D24">
      <w:p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r w:rsidRPr="00ED7D24">
        <w:rPr>
          <w:rFonts w:ascii="Times New Roman" w:eastAsia="Times New Roman" w:hAnsi="Times New Roman" w:cs="Times New Roman"/>
          <w:b/>
          <w:bCs/>
          <w:color w:val="000000"/>
          <w:kern w:val="0"/>
          <w:szCs w:val="24"/>
          <w14:ligatures w14:val="none"/>
        </w:rPr>
        <w:t>1.1 Primary Project Objectives</w:t>
      </w:r>
    </w:p>
    <w:p w14:paraId="02720FFB" w14:textId="77777777" w:rsidR="00ED7D24" w:rsidRPr="00ED7D24" w:rsidRDefault="00ED7D24" w:rsidP="00ED7D24">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ED7D24">
        <w:rPr>
          <w:rFonts w:ascii="Times New Roman" w:eastAsia="Times New Roman" w:hAnsi="Times New Roman" w:cs="Times New Roman"/>
          <w:color w:val="000000"/>
          <w:kern w:val="0"/>
          <w:szCs w:val="24"/>
          <w14:ligatures w14:val="none"/>
        </w:rPr>
        <w:t>This capstone pursues four interconnected objectives:</w:t>
      </w:r>
    </w:p>
    <w:p w14:paraId="6CDBCA07" w14:textId="77777777" w:rsidR="00ED7D24" w:rsidRPr="00ED7D24" w:rsidRDefault="00ED7D24" w:rsidP="00ED7D24">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ED7D24">
        <w:rPr>
          <w:rFonts w:ascii="Times New Roman" w:eastAsia="Times New Roman" w:hAnsi="Times New Roman" w:cs="Times New Roman"/>
          <w:b/>
          <w:bCs/>
          <w:color w:val="000000"/>
          <w:kern w:val="0"/>
          <w:szCs w:val="24"/>
          <w14:ligatures w14:val="none"/>
        </w:rPr>
        <w:t>1. Compare six different modeling approaches</w:t>
      </w:r>
      <w:r w:rsidRPr="00ED7D24">
        <w:rPr>
          <w:rFonts w:ascii="Times New Roman" w:eastAsia="Times New Roman" w:hAnsi="Times New Roman" w:cs="Times New Roman"/>
          <w:color w:val="000000"/>
          <w:kern w:val="0"/>
          <w:szCs w:val="24"/>
          <w14:ligatures w14:val="none"/>
        </w:rPr>
        <w:t> to determine which performs best for renewable energy forecasting. The models include ARIMA (traditional time series), Linear Regression, Random Forest, Gradient Boosting, Support Vector Regression, and Neural Networks. Each approach makes different assumptions about how energy consumption patterns work—from simple linear relationships to complex non-linear interactions.</w:t>
      </w:r>
    </w:p>
    <w:p w14:paraId="46E25113" w14:textId="77777777" w:rsidR="00ED7D24" w:rsidRPr="00ED7D24" w:rsidRDefault="00ED7D24" w:rsidP="00ED7D24">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ED7D24">
        <w:rPr>
          <w:rFonts w:ascii="Times New Roman" w:eastAsia="Times New Roman" w:hAnsi="Times New Roman" w:cs="Times New Roman"/>
          <w:b/>
          <w:bCs/>
          <w:color w:val="000000"/>
          <w:kern w:val="0"/>
          <w:szCs w:val="24"/>
          <w14:ligatures w14:val="none"/>
        </w:rPr>
        <w:t>2. Generate 5-year forecasts (2025-2029) with confidence intervals</w:t>
      </w:r>
      <w:r w:rsidRPr="00ED7D24">
        <w:rPr>
          <w:rFonts w:ascii="Times New Roman" w:eastAsia="Times New Roman" w:hAnsi="Times New Roman" w:cs="Times New Roman"/>
          <w:color w:val="000000"/>
          <w:kern w:val="0"/>
          <w:szCs w:val="24"/>
          <w14:ligatures w14:val="none"/>
        </w:rPr>
        <w:t> to support strategic planning. These projections provide concrete targets that policy makers can use to evaluate whether current renewable adoption rates align with climate goals. The confidence intervals allow for scenario planning under different growth assumptions.</w:t>
      </w:r>
    </w:p>
    <w:p w14:paraId="734D3146" w14:textId="77777777" w:rsidR="00ED7D24" w:rsidRPr="00ED7D24" w:rsidRDefault="00ED7D24" w:rsidP="00ED7D24">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ED7D24">
        <w:rPr>
          <w:rFonts w:ascii="Times New Roman" w:eastAsia="Times New Roman" w:hAnsi="Times New Roman" w:cs="Times New Roman"/>
          <w:b/>
          <w:bCs/>
          <w:color w:val="000000"/>
          <w:kern w:val="0"/>
          <w:szCs w:val="24"/>
          <w14:ligatures w14:val="none"/>
        </w:rPr>
        <w:t>3. Identify which temporal features and patterns matter most</w:t>
      </w:r>
      <w:r w:rsidRPr="00ED7D24">
        <w:rPr>
          <w:rFonts w:ascii="Times New Roman" w:eastAsia="Times New Roman" w:hAnsi="Times New Roman" w:cs="Times New Roman"/>
          <w:color w:val="000000"/>
          <w:kern w:val="0"/>
          <w:szCs w:val="24"/>
          <w14:ligatures w14:val="none"/>
        </w:rPr>
        <w:t> for accurate forecasting. By analyzing feature importance, this project reveals what drives renewable energy consumption and which data inputs provide the strongest predictive signals. This helps prioritize what information matters most for future forecasting efforts.</w:t>
      </w:r>
    </w:p>
    <w:p w14:paraId="73682F6E" w14:textId="77777777" w:rsidR="00ED7D24" w:rsidRPr="00ED7D24" w:rsidRDefault="00ED7D24" w:rsidP="00ED7D24">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ED7D24">
        <w:rPr>
          <w:rFonts w:ascii="Times New Roman" w:eastAsia="Times New Roman" w:hAnsi="Times New Roman" w:cs="Times New Roman"/>
          <w:b/>
          <w:bCs/>
          <w:color w:val="000000"/>
          <w:kern w:val="0"/>
          <w:szCs w:val="24"/>
          <w14:ligatures w14:val="none"/>
        </w:rPr>
        <w:t>4. Analyze how the renewable energy mix has changed over time.</w:t>
      </w:r>
      <w:r w:rsidRPr="00ED7D24">
        <w:rPr>
          <w:rFonts w:ascii="Times New Roman" w:eastAsia="Times New Roman" w:hAnsi="Times New Roman" w:cs="Times New Roman"/>
          <w:color w:val="000000"/>
          <w:kern w:val="0"/>
          <w:szCs w:val="24"/>
          <w14:ligatures w14:val="none"/>
        </w:rPr>
        <w:t> By examining trends across hydroelectric, geothermal, solar, wind, and biomass energy, this project identifies which sources show the strongest growth and how the overall portfolio is evolving.</w:t>
      </w:r>
    </w:p>
    <w:p w14:paraId="7EF08977" w14:textId="77777777" w:rsidR="00ED7D24" w:rsidRPr="00ED7D24" w:rsidRDefault="00ED7D24" w:rsidP="00ED7D24">
      <w:p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r w:rsidRPr="00ED7D24">
        <w:rPr>
          <w:rFonts w:ascii="Times New Roman" w:eastAsia="Times New Roman" w:hAnsi="Times New Roman" w:cs="Times New Roman"/>
          <w:b/>
          <w:bCs/>
          <w:color w:val="000000"/>
          <w:kern w:val="0"/>
          <w:szCs w:val="24"/>
          <w14:ligatures w14:val="none"/>
        </w:rPr>
        <w:t>1.2 Practical Value and Impact</w:t>
      </w:r>
    </w:p>
    <w:p w14:paraId="6CD699D5" w14:textId="77777777" w:rsidR="00ED7D24" w:rsidRPr="00ED7D24" w:rsidRDefault="00ED7D24" w:rsidP="00ED7D24">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ED7D24">
        <w:rPr>
          <w:rFonts w:ascii="Times New Roman" w:eastAsia="Times New Roman" w:hAnsi="Times New Roman" w:cs="Times New Roman"/>
          <w:color w:val="000000"/>
          <w:kern w:val="0"/>
          <w:szCs w:val="24"/>
          <w14:ligatures w14:val="none"/>
        </w:rPr>
        <w:lastRenderedPageBreak/>
        <w:t>This work provides practical value for several groups. Energy policy makers can use these forecasts to set realistic renewable energy targets and plan infrastructure investments. For example, understanding that solar energy is growing exponentially while hydroelectric is declining helps inform portfolio diversification decisions. Utility companies can apply these models for capacity planning and grid management, which becomes increasingly important as intermittent sources like solar and wind make up larger shares of generation.</w:t>
      </w:r>
    </w:p>
    <w:p w14:paraId="7FD8671A" w14:textId="77777777" w:rsidR="00ED7D24" w:rsidRPr="00ED7D24" w:rsidRDefault="00ED7D24" w:rsidP="00ED7D24">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ED7D24">
        <w:rPr>
          <w:rFonts w:ascii="Times New Roman" w:eastAsia="Times New Roman" w:hAnsi="Times New Roman" w:cs="Times New Roman"/>
          <w:color w:val="000000"/>
          <w:kern w:val="0"/>
          <w:szCs w:val="24"/>
          <w14:ligatures w14:val="none"/>
        </w:rPr>
        <w:t>For investors in renewable energy projects, the forecasts help assess market growth trajectories and evaluate risks. The confidence intervals support sensitivity analysis and risk-adjusted decision-making. This project also contributes to the broader understanding of which forecasting methods work best for long-term energy prediction, adding to what's known about energy analytics and sustainable development.</w:t>
      </w:r>
    </w:p>
    <w:p w14:paraId="4A7BB564" w14:textId="77777777" w:rsidR="00ED7D24" w:rsidRPr="00C14A68" w:rsidRDefault="00ED7D24" w:rsidP="00B44E6E">
      <w:pPr>
        <w:spacing w:after="600"/>
        <w:rPr>
          <w:rFonts w:ascii="Calibri" w:hAnsi="Calibri" w:cs="Calibri"/>
          <w:szCs w:val="24"/>
        </w:rPr>
      </w:pPr>
    </w:p>
    <w:p w14:paraId="4656BEBB" w14:textId="77777777" w:rsidR="009E320B" w:rsidRPr="009E320B" w:rsidRDefault="009E320B" w:rsidP="009E320B">
      <w:pPr>
        <w:spacing w:before="100" w:beforeAutospacing="1" w:after="100" w:afterAutospacing="1" w:line="240" w:lineRule="auto"/>
        <w:outlineLvl w:val="1"/>
        <w:rPr>
          <w:rFonts w:ascii="Times New Roman" w:eastAsia="Times New Roman" w:hAnsi="Times New Roman" w:cs="Times New Roman"/>
          <w:b/>
          <w:bCs/>
          <w:color w:val="000000"/>
          <w:kern w:val="0"/>
          <w:szCs w:val="24"/>
          <w14:ligatures w14:val="none"/>
        </w:rPr>
      </w:pPr>
      <w:r w:rsidRPr="009E320B">
        <w:rPr>
          <w:rFonts w:ascii="Times New Roman" w:eastAsia="Times New Roman" w:hAnsi="Times New Roman" w:cs="Times New Roman"/>
          <w:b/>
          <w:bCs/>
          <w:color w:val="000000"/>
          <w:kern w:val="0"/>
          <w:szCs w:val="24"/>
          <w14:ligatures w14:val="none"/>
        </w:rPr>
        <w:t>2. METHODOLOGY</w:t>
      </w:r>
    </w:p>
    <w:p w14:paraId="08DFE21B" w14:textId="77777777" w:rsidR="009E320B" w:rsidRPr="009E320B" w:rsidRDefault="009E320B" w:rsidP="009E320B">
      <w:p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r w:rsidRPr="009E320B">
        <w:rPr>
          <w:rFonts w:ascii="Times New Roman" w:eastAsia="Times New Roman" w:hAnsi="Times New Roman" w:cs="Times New Roman"/>
          <w:b/>
          <w:bCs/>
          <w:color w:val="000000"/>
          <w:kern w:val="0"/>
          <w:szCs w:val="24"/>
          <w14:ligatures w14:val="none"/>
        </w:rPr>
        <w:t>2.1 Data Sources</w:t>
      </w:r>
    </w:p>
    <w:p w14:paraId="0FF1D4F1" w14:textId="77777777" w:rsidR="009E320B" w:rsidRPr="009E320B" w:rsidRDefault="009E320B" w:rsidP="009E320B">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9E320B">
        <w:rPr>
          <w:rFonts w:ascii="Times New Roman" w:eastAsia="Times New Roman" w:hAnsi="Times New Roman" w:cs="Times New Roman"/>
          <w:color w:val="000000"/>
          <w:kern w:val="0"/>
          <w:szCs w:val="24"/>
          <w14:ligatures w14:val="none"/>
        </w:rPr>
        <w:t>The dataset for this project consists of 613 monthly observations covering January 1973 through November 2024, obtained from the U.S. Energy Information Administration (EIA). This 51-year time series is one of the longest continuous records of renewable energy consumption available, providing enough historical data for reliable model training and testing. Energy consumption is measured in trillion British Thermal Units (BTUs), the standard energy unit used in the United States.</w:t>
      </w:r>
    </w:p>
    <w:p w14:paraId="4B82DEB1" w14:textId="77777777" w:rsidR="009E320B" w:rsidRPr="009E320B" w:rsidRDefault="009E320B" w:rsidP="009E320B">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9E320B">
        <w:rPr>
          <w:rFonts w:ascii="Times New Roman" w:eastAsia="Times New Roman" w:hAnsi="Times New Roman" w:cs="Times New Roman"/>
          <w:color w:val="000000"/>
          <w:kern w:val="0"/>
          <w:szCs w:val="24"/>
          <w14:ligatures w14:val="none"/>
        </w:rPr>
        <w:t>The data breaks down total renewable energy consumption into five primary sources:</w:t>
      </w:r>
    </w:p>
    <w:p w14:paraId="76A60E87" w14:textId="77777777" w:rsidR="009E320B" w:rsidRPr="009E320B" w:rsidRDefault="009E320B" w:rsidP="009E320B">
      <w:pPr>
        <w:numPr>
          <w:ilvl w:val="0"/>
          <w:numId w:val="1"/>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9E320B">
        <w:rPr>
          <w:rFonts w:ascii="Times New Roman" w:eastAsia="Times New Roman" w:hAnsi="Times New Roman" w:cs="Times New Roman"/>
          <w:b/>
          <w:bCs/>
          <w:color w:val="000000"/>
          <w:kern w:val="0"/>
          <w:szCs w:val="24"/>
          <w14:ligatures w14:val="none"/>
        </w:rPr>
        <w:t>Hydroelectric Power</w:t>
      </w:r>
      <w:r w:rsidRPr="009E320B">
        <w:rPr>
          <w:rFonts w:ascii="Times New Roman" w:eastAsia="Times New Roman" w:hAnsi="Times New Roman" w:cs="Times New Roman"/>
          <w:color w:val="000000"/>
          <w:kern w:val="0"/>
          <w:szCs w:val="24"/>
          <w14:ligatures w14:val="none"/>
        </w:rPr>
        <w:t xml:space="preserve"> – Traditional water-based generation that has </w:t>
      </w:r>
      <w:proofErr w:type="gramStart"/>
      <w:r w:rsidRPr="009E320B">
        <w:rPr>
          <w:rFonts w:ascii="Times New Roman" w:eastAsia="Times New Roman" w:hAnsi="Times New Roman" w:cs="Times New Roman"/>
          <w:color w:val="000000"/>
          <w:kern w:val="0"/>
          <w:szCs w:val="24"/>
          <w14:ligatures w14:val="none"/>
        </w:rPr>
        <w:t>actually declined</w:t>
      </w:r>
      <w:proofErr w:type="gramEnd"/>
      <w:r w:rsidRPr="009E320B">
        <w:rPr>
          <w:rFonts w:ascii="Times New Roman" w:eastAsia="Times New Roman" w:hAnsi="Times New Roman" w:cs="Times New Roman"/>
          <w:color w:val="000000"/>
          <w:kern w:val="0"/>
          <w:szCs w:val="24"/>
          <w14:ligatures w14:val="none"/>
        </w:rPr>
        <w:t xml:space="preserve"> 63% over the study period</w:t>
      </w:r>
    </w:p>
    <w:p w14:paraId="5B885644" w14:textId="77777777" w:rsidR="009E320B" w:rsidRPr="009E320B" w:rsidRDefault="009E320B" w:rsidP="009E320B">
      <w:pPr>
        <w:numPr>
          <w:ilvl w:val="0"/>
          <w:numId w:val="1"/>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9E320B">
        <w:rPr>
          <w:rFonts w:ascii="Times New Roman" w:eastAsia="Times New Roman" w:hAnsi="Times New Roman" w:cs="Times New Roman"/>
          <w:b/>
          <w:bCs/>
          <w:color w:val="000000"/>
          <w:kern w:val="0"/>
          <w:szCs w:val="24"/>
          <w14:ligatures w14:val="none"/>
        </w:rPr>
        <w:t>Geothermal Energy</w:t>
      </w:r>
      <w:r w:rsidRPr="009E320B">
        <w:rPr>
          <w:rFonts w:ascii="Times New Roman" w:eastAsia="Times New Roman" w:hAnsi="Times New Roman" w:cs="Times New Roman"/>
          <w:color w:val="000000"/>
          <w:kern w:val="0"/>
          <w:szCs w:val="24"/>
          <w14:ligatures w14:val="none"/>
        </w:rPr>
        <w:t> – Heat extraction from underground sources, showing remarkable 1,950% growth</w:t>
      </w:r>
    </w:p>
    <w:p w14:paraId="186246E5" w14:textId="77777777" w:rsidR="009E320B" w:rsidRPr="009E320B" w:rsidRDefault="009E320B" w:rsidP="009E320B">
      <w:pPr>
        <w:numPr>
          <w:ilvl w:val="0"/>
          <w:numId w:val="1"/>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9E320B">
        <w:rPr>
          <w:rFonts w:ascii="Times New Roman" w:eastAsia="Times New Roman" w:hAnsi="Times New Roman" w:cs="Times New Roman"/>
          <w:b/>
          <w:bCs/>
          <w:color w:val="000000"/>
          <w:kern w:val="0"/>
          <w:szCs w:val="24"/>
          <w14:ligatures w14:val="none"/>
        </w:rPr>
        <w:t>Solar Energy</w:t>
      </w:r>
      <w:r w:rsidRPr="009E320B">
        <w:rPr>
          <w:rFonts w:ascii="Times New Roman" w:eastAsia="Times New Roman" w:hAnsi="Times New Roman" w:cs="Times New Roman"/>
          <w:color w:val="000000"/>
          <w:kern w:val="0"/>
          <w:szCs w:val="24"/>
          <w14:ligatures w14:val="none"/>
        </w:rPr>
        <w:t> – Photovoltaic and thermal systems that grew exponentially after 2010</w:t>
      </w:r>
    </w:p>
    <w:p w14:paraId="0D469104" w14:textId="77777777" w:rsidR="009E320B" w:rsidRPr="009E320B" w:rsidRDefault="009E320B" w:rsidP="009E320B">
      <w:pPr>
        <w:numPr>
          <w:ilvl w:val="0"/>
          <w:numId w:val="1"/>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9E320B">
        <w:rPr>
          <w:rFonts w:ascii="Times New Roman" w:eastAsia="Times New Roman" w:hAnsi="Times New Roman" w:cs="Times New Roman"/>
          <w:b/>
          <w:bCs/>
          <w:color w:val="000000"/>
          <w:kern w:val="0"/>
          <w:szCs w:val="24"/>
          <w14:ligatures w14:val="none"/>
        </w:rPr>
        <w:t>Wind Energy</w:t>
      </w:r>
      <w:r w:rsidRPr="009E320B">
        <w:rPr>
          <w:rFonts w:ascii="Times New Roman" w:eastAsia="Times New Roman" w:hAnsi="Times New Roman" w:cs="Times New Roman"/>
          <w:color w:val="000000"/>
          <w:kern w:val="0"/>
          <w:szCs w:val="24"/>
          <w14:ligatures w14:val="none"/>
        </w:rPr>
        <w:t> – Onshore and offshore turbines, the second-fastest growing source</w:t>
      </w:r>
    </w:p>
    <w:p w14:paraId="6736076A" w14:textId="77777777" w:rsidR="009E320B" w:rsidRPr="009E320B" w:rsidRDefault="009E320B" w:rsidP="009E320B">
      <w:pPr>
        <w:numPr>
          <w:ilvl w:val="0"/>
          <w:numId w:val="1"/>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9E320B">
        <w:rPr>
          <w:rFonts w:ascii="Times New Roman" w:eastAsia="Times New Roman" w:hAnsi="Times New Roman" w:cs="Times New Roman"/>
          <w:b/>
          <w:bCs/>
          <w:color w:val="000000"/>
          <w:kern w:val="0"/>
          <w:szCs w:val="24"/>
          <w14:ligatures w14:val="none"/>
        </w:rPr>
        <w:t>Biomass Energy</w:t>
      </w:r>
      <w:r w:rsidRPr="009E320B">
        <w:rPr>
          <w:rFonts w:ascii="Times New Roman" w:eastAsia="Times New Roman" w:hAnsi="Times New Roman" w:cs="Times New Roman"/>
          <w:color w:val="000000"/>
          <w:kern w:val="0"/>
          <w:szCs w:val="24"/>
          <w14:ligatures w14:val="none"/>
        </w:rPr>
        <w:t> – Wood, waste, and biofuels, with 274% growth</w:t>
      </w:r>
    </w:p>
    <w:p w14:paraId="1EC759DB" w14:textId="77777777" w:rsidR="009E320B" w:rsidRPr="009E320B" w:rsidRDefault="009E320B" w:rsidP="009E320B">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9E320B">
        <w:rPr>
          <w:rFonts w:ascii="Times New Roman" w:eastAsia="Times New Roman" w:hAnsi="Times New Roman" w:cs="Times New Roman"/>
          <w:color w:val="000000"/>
          <w:kern w:val="0"/>
          <w:szCs w:val="24"/>
          <w14:ligatures w14:val="none"/>
        </w:rPr>
        <w:t>The dataset shows considerable variation over time. Average consumption is 354.36 trillion BTUs with a standard deviation of 89.09. The range spans from a minimum of 185.3 trillion BTUs in 1973 to a maximum of 590.69 trillion BTUs in 2024. The interquartile range runs from 302.3 (Q1) to 407.8 (Q3) trillion BTUs, indicating the middle 50% of observations cluster in this range.</w:t>
      </w:r>
    </w:p>
    <w:p w14:paraId="60CEF30F" w14:textId="77777777" w:rsidR="009E320B" w:rsidRPr="009E320B" w:rsidRDefault="009E320B" w:rsidP="009E320B">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9E320B">
        <w:rPr>
          <w:rFonts w:ascii="Times New Roman" w:eastAsia="Times New Roman" w:hAnsi="Times New Roman" w:cs="Times New Roman"/>
          <w:color w:val="000000"/>
          <w:kern w:val="0"/>
          <w:szCs w:val="24"/>
          <w14:ligatures w14:val="none"/>
        </w:rPr>
        <w:t xml:space="preserve">Initial statistical testing using the Augmented Dickey-Fuller test produced a p-value of 0.9185, confirming the series is non-stationary. This means the data has trends and patterns that change </w:t>
      </w:r>
      <w:r w:rsidRPr="009E320B">
        <w:rPr>
          <w:rFonts w:ascii="Times New Roman" w:eastAsia="Times New Roman" w:hAnsi="Times New Roman" w:cs="Times New Roman"/>
          <w:color w:val="000000"/>
          <w:kern w:val="0"/>
          <w:szCs w:val="24"/>
          <w14:ligatures w14:val="none"/>
        </w:rPr>
        <w:lastRenderedPageBreak/>
        <w:t>over time rather than fluctuating around a constant mean. For the ARIMA model, this required first-order differencing to achieve stationarity before fitting.</w:t>
      </w:r>
    </w:p>
    <w:p w14:paraId="39346CFE" w14:textId="773880AD" w:rsidR="009E320B" w:rsidRPr="00C14A68" w:rsidRDefault="009E320B" w:rsidP="009E320B">
      <w:pPr>
        <w:spacing w:after="240" w:line="480" w:lineRule="auto"/>
        <w:jc w:val="center"/>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4A68">
        <w:rPr>
          <w:rFonts w:ascii="Calibri" w:hAnsi="Calibri" w:cs="Calibri"/>
          <w:noProof/>
          <w:szCs w:val="24"/>
        </w:rPr>
        <w:drawing>
          <wp:inline distT="0" distB="0" distL="0" distR="0" wp14:anchorId="5BA0EF6A" wp14:editId="3657E689">
            <wp:extent cx="5943600" cy="2522855"/>
            <wp:effectExtent l="0" t="0" r="0" b="4445"/>
            <wp:docPr id="2048788069" name="Picture 1" descr="A graph showing the price of ener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88069" name="Picture 1" descr="A graph showing the price of energ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522855"/>
                    </a:xfrm>
                    <a:prstGeom prst="rect">
                      <a:avLst/>
                    </a:prstGeom>
                  </pic:spPr>
                </pic:pic>
              </a:graphicData>
            </a:graphic>
          </wp:inline>
        </w:drawing>
      </w:r>
      <w:r w:rsidRPr="00C14A68">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FIGURE 1: U.S. Renewable Energy Consumption (1973-2024) with Polynomial Trend</w:t>
      </w:r>
    </w:p>
    <w:p w14:paraId="3D3B2CF8" w14:textId="77777777" w:rsidR="009E320B" w:rsidRPr="00C14A68" w:rsidRDefault="009E320B" w:rsidP="009E320B">
      <w:pPr>
        <w:spacing w:after="240" w:line="480" w:lineRule="auto"/>
        <w:jc w:val="center"/>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FAE660" w14:textId="73FB1C46" w:rsidR="009E320B" w:rsidRPr="00C14A68" w:rsidRDefault="009E320B" w:rsidP="009E320B">
      <w:pPr>
        <w:spacing w:after="240" w:line="480" w:lineRule="auto"/>
        <w:jc w:val="center"/>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4A68">
        <w:rPr>
          <w:i/>
          <w:iCs/>
          <w:noProof/>
          <w:color w:val="000000" w:themeColor="text1"/>
          <w:szCs w:val="24"/>
        </w:rPr>
        <w:drawing>
          <wp:inline distT="0" distB="0" distL="0" distR="0" wp14:anchorId="203C754C" wp14:editId="3EBB667F">
            <wp:extent cx="5943600" cy="2096135"/>
            <wp:effectExtent l="0" t="0" r="0" b="0"/>
            <wp:docPr id="1321568467" name="Picture 2" descr="A graph of energy and ener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68467" name="Picture 2" descr="A graph of energy and energy&#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096135"/>
                    </a:xfrm>
                    <a:prstGeom prst="rect">
                      <a:avLst/>
                    </a:prstGeom>
                  </pic:spPr>
                </pic:pic>
              </a:graphicData>
            </a:graphic>
          </wp:inline>
        </w:drawing>
      </w:r>
      <w:r w:rsidRPr="00C14A68">
        <w:rPr>
          <w:i/>
          <w:iCs/>
          <w:color w:val="0000FF"/>
          <w:szCs w:val="24"/>
        </w:rPr>
        <w:t xml:space="preserve"> </w:t>
      </w:r>
      <w:r w:rsidRPr="00C14A68">
        <w:rPr>
          <w:i/>
          <w:iCs/>
          <w:color w:val="0000FF"/>
          <w:szCs w:val="24"/>
        </w:rPr>
        <w:t xml:space="preserve"> </w:t>
      </w:r>
      <w:r w:rsidRPr="00C14A68">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3: Distribution &amp; Box Plot - Mean=354, Median=335</w:t>
      </w:r>
    </w:p>
    <w:p w14:paraId="44F6F5B5" w14:textId="77777777" w:rsidR="009E320B" w:rsidRPr="00C14A68" w:rsidRDefault="009E320B" w:rsidP="009E320B">
      <w:pPr>
        <w:spacing w:after="240" w:line="480" w:lineRule="auto"/>
        <w:jc w:val="center"/>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A8FBE0" w14:textId="77777777" w:rsidR="009E320B" w:rsidRPr="00C14A68" w:rsidRDefault="009E320B" w:rsidP="009E320B">
      <w:pPr>
        <w:spacing w:after="240" w:line="480" w:lineRule="auto"/>
        <w:jc w:val="center"/>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B31770" w14:textId="77777777" w:rsidR="009E320B" w:rsidRPr="00C14A68" w:rsidRDefault="009E320B" w:rsidP="009E320B">
      <w:pPr>
        <w:spacing w:after="240" w:line="480" w:lineRule="auto"/>
        <w:jc w:val="center"/>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ABF6B1" w14:textId="3775A367" w:rsidR="009E320B" w:rsidRPr="00C14A68" w:rsidRDefault="009E320B" w:rsidP="009E320B">
      <w:pPr>
        <w:spacing w:after="240" w:line="480" w:lineRule="auto"/>
        <w:jc w:val="center"/>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4A68">
        <w:rPr>
          <w:noProof/>
          <w:color w:val="000000" w:themeColor="text1"/>
          <w:szCs w:val="24"/>
        </w:rPr>
        <w:drawing>
          <wp:inline distT="0" distB="0" distL="0" distR="0" wp14:anchorId="370A7DB6" wp14:editId="742EB3FA">
            <wp:extent cx="5943600" cy="2947670"/>
            <wp:effectExtent l="0" t="0" r="0" b="0"/>
            <wp:docPr id="673406378" name="Picture 3" descr="A graph showing the average renewable energy consumption by deca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06378" name="Picture 3" descr="A graph showing the average renewable energy consumption by decad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47670"/>
                    </a:xfrm>
                    <a:prstGeom prst="rect">
                      <a:avLst/>
                    </a:prstGeom>
                  </pic:spPr>
                </pic:pic>
              </a:graphicData>
            </a:graphic>
          </wp:inline>
        </w:drawing>
      </w:r>
    </w:p>
    <w:p w14:paraId="63C065B8" w14:textId="1217CC2C" w:rsidR="00792442" w:rsidRPr="00C14A68" w:rsidRDefault="00792442" w:rsidP="00792442">
      <w:pPr>
        <w:spacing w:after="240" w:line="480" w:lineRule="auto"/>
        <w:jc w:val="center"/>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4A68">
        <w:rPr>
          <w:i/>
          <w:iCs/>
          <w:color w:val="0000FF"/>
          <w:szCs w:val="24"/>
        </w:rPr>
        <w:t xml:space="preserve"> </w:t>
      </w:r>
      <w:r w:rsidRPr="00C14A68">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10: Decade Comparison - 1970s: 230 to 2020s: 522 trillion BTUs</w:t>
      </w:r>
    </w:p>
    <w:p w14:paraId="2CA0F3F5" w14:textId="77777777" w:rsidR="00792442" w:rsidRPr="00C14A68" w:rsidRDefault="00792442" w:rsidP="00792442">
      <w:p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p>
    <w:p w14:paraId="7DFEBD0F" w14:textId="77777777" w:rsidR="00792442" w:rsidRPr="00C14A68" w:rsidRDefault="00792442" w:rsidP="00792442">
      <w:p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p>
    <w:p w14:paraId="317044A1" w14:textId="77777777" w:rsidR="00792442" w:rsidRPr="00C14A68" w:rsidRDefault="00792442" w:rsidP="00792442">
      <w:p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p>
    <w:p w14:paraId="5FAAEFFA" w14:textId="77777777" w:rsidR="00792442" w:rsidRPr="00C14A68" w:rsidRDefault="00792442" w:rsidP="00792442">
      <w:p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p>
    <w:p w14:paraId="16F2A52E" w14:textId="77777777" w:rsidR="00792442" w:rsidRPr="00C14A68" w:rsidRDefault="00792442" w:rsidP="00792442">
      <w:p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p>
    <w:p w14:paraId="1CF169CB" w14:textId="77777777" w:rsidR="00792442" w:rsidRPr="00C14A68" w:rsidRDefault="00792442" w:rsidP="00792442">
      <w:p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p>
    <w:p w14:paraId="2DA336C6" w14:textId="77777777" w:rsidR="00792442" w:rsidRPr="00C14A68" w:rsidRDefault="00792442" w:rsidP="00792442">
      <w:p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p>
    <w:p w14:paraId="65C020DC" w14:textId="77777777" w:rsidR="00792442" w:rsidRPr="00C14A68" w:rsidRDefault="00792442" w:rsidP="00792442">
      <w:p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p>
    <w:p w14:paraId="65EEB93F" w14:textId="77777777" w:rsidR="00792442" w:rsidRPr="00C14A68" w:rsidRDefault="00792442" w:rsidP="00792442">
      <w:p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p>
    <w:p w14:paraId="14271BDC" w14:textId="77777777" w:rsidR="00792442" w:rsidRPr="00C14A68" w:rsidRDefault="00792442" w:rsidP="00792442">
      <w:p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p>
    <w:p w14:paraId="1998A2A4" w14:textId="77777777" w:rsidR="00792442" w:rsidRPr="00C14A68" w:rsidRDefault="00792442" w:rsidP="00792442">
      <w:p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p>
    <w:p w14:paraId="2A15BF69" w14:textId="77777777" w:rsidR="00792442" w:rsidRPr="00C14A68" w:rsidRDefault="00792442" w:rsidP="00792442">
      <w:p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p>
    <w:p w14:paraId="66AE2B1D" w14:textId="0FA4386F" w:rsidR="00792442" w:rsidRPr="00792442" w:rsidRDefault="00792442" w:rsidP="00792442">
      <w:p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r w:rsidRPr="00792442">
        <w:rPr>
          <w:rFonts w:ascii="Times New Roman" w:eastAsia="Times New Roman" w:hAnsi="Times New Roman" w:cs="Times New Roman"/>
          <w:b/>
          <w:bCs/>
          <w:color w:val="000000"/>
          <w:kern w:val="0"/>
          <w:szCs w:val="24"/>
          <w14:ligatures w14:val="none"/>
        </w:rPr>
        <w:t>2.2 Analytical Tools and Techniques</w:t>
      </w:r>
    </w:p>
    <w:p w14:paraId="42B8EA1A" w14:textId="77777777" w:rsidR="00792442" w:rsidRPr="00792442" w:rsidRDefault="00792442" w:rsidP="00792442">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792442">
        <w:rPr>
          <w:rFonts w:ascii="Times New Roman" w:eastAsia="Times New Roman" w:hAnsi="Times New Roman" w:cs="Times New Roman"/>
          <w:color w:val="000000"/>
          <w:kern w:val="0"/>
          <w:szCs w:val="24"/>
          <w14:ligatures w14:val="none"/>
        </w:rPr>
        <w:t xml:space="preserve">I conducted all analyses in Python 3.13 using </w:t>
      </w:r>
      <w:proofErr w:type="spellStart"/>
      <w:r w:rsidRPr="00792442">
        <w:rPr>
          <w:rFonts w:ascii="Times New Roman" w:eastAsia="Times New Roman" w:hAnsi="Times New Roman" w:cs="Times New Roman"/>
          <w:color w:val="000000"/>
          <w:kern w:val="0"/>
          <w:szCs w:val="24"/>
          <w14:ligatures w14:val="none"/>
        </w:rPr>
        <w:t>Jupyter</w:t>
      </w:r>
      <w:proofErr w:type="spellEnd"/>
      <w:r w:rsidRPr="00792442">
        <w:rPr>
          <w:rFonts w:ascii="Times New Roman" w:eastAsia="Times New Roman" w:hAnsi="Times New Roman" w:cs="Times New Roman"/>
          <w:color w:val="000000"/>
          <w:kern w:val="0"/>
          <w:szCs w:val="24"/>
          <w14:ligatures w14:val="none"/>
        </w:rPr>
        <w:t xml:space="preserve"> Notebook. The analytical pipeline used pandas and </w:t>
      </w:r>
      <w:proofErr w:type="spellStart"/>
      <w:r w:rsidRPr="00792442">
        <w:rPr>
          <w:rFonts w:ascii="Times New Roman" w:eastAsia="Times New Roman" w:hAnsi="Times New Roman" w:cs="Times New Roman"/>
          <w:color w:val="000000"/>
          <w:kern w:val="0"/>
          <w:szCs w:val="24"/>
          <w14:ligatures w14:val="none"/>
        </w:rPr>
        <w:t>numpy</w:t>
      </w:r>
      <w:proofErr w:type="spellEnd"/>
      <w:r w:rsidRPr="00792442">
        <w:rPr>
          <w:rFonts w:ascii="Times New Roman" w:eastAsia="Times New Roman" w:hAnsi="Times New Roman" w:cs="Times New Roman"/>
          <w:color w:val="000000"/>
          <w:kern w:val="0"/>
          <w:szCs w:val="24"/>
          <w14:ligatures w14:val="none"/>
        </w:rPr>
        <w:t xml:space="preserve"> for data manipulation, scikit-learn for machine learning models, </w:t>
      </w:r>
      <w:proofErr w:type="spellStart"/>
      <w:r w:rsidRPr="00792442">
        <w:rPr>
          <w:rFonts w:ascii="Times New Roman" w:eastAsia="Times New Roman" w:hAnsi="Times New Roman" w:cs="Times New Roman"/>
          <w:color w:val="000000"/>
          <w:kern w:val="0"/>
          <w:szCs w:val="24"/>
          <w14:ligatures w14:val="none"/>
        </w:rPr>
        <w:t>statsmodels</w:t>
      </w:r>
      <w:proofErr w:type="spellEnd"/>
      <w:r w:rsidRPr="00792442">
        <w:rPr>
          <w:rFonts w:ascii="Times New Roman" w:eastAsia="Times New Roman" w:hAnsi="Times New Roman" w:cs="Times New Roman"/>
          <w:color w:val="000000"/>
          <w:kern w:val="0"/>
          <w:szCs w:val="24"/>
          <w14:ligatures w14:val="none"/>
        </w:rPr>
        <w:t xml:space="preserve"> for time series analysis, and matplotlib and seaborn for visualization. This workflow follows best practices from the MSBA program and ensures the analysis can be reproduced.</w:t>
      </w:r>
    </w:p>
    <w:p w14:paraId="4AF9B6DE" w14:textId="77777777" w:rsidR="00792442" w:rsidRPr="00792442" w:rsidRDefault="00792442" w:rsidP="00792442">
      <w:pPr>
        <w:spacing w:before="100" w:beforeAutospacing="1" w:after="100" w:afterAutospacing="1" w:line="240" w:lineRule="auto"/>
        <w:outlineLvl w:val="3"/>
        <w:rPr>
          <w:rFonts w:ascii="Times New Roman" w:eastAsia="Times New Roman" w:hAnsi="Times New Roman" w:cs="Times New Roman"/>
          <w:b/>
          <w:bCs/>
          <w:color w:val="000000"/>
          <w:kern w:val="0"/>
          <w:szCs w:val="24"/>
          <w14:ligatures w14:val="none"/>
        </w:rPr>
      </w:pPr>
      <w:r w:rsidRPr="00792442">
        <w:rPr>
          <w:rFonts w:ascii="Times New Roman" w:eastAsia="Times New Roman" w:hAnsi="Times New Roman" w:cs="Times New Roman"/>
          <w:b/>
          <w:bCs/>
          <w:color w:val="000000"/>
          <w:kern w:val="0"/>
          <w:szCs w:val="24"/>
          <w14:ligatures w14:val="none"/>
        </w:rPr>
        <w:t>2.2.1 Exploratory Data Analysis</w:t>
      </w:r>
    </w:p>
    <w:p w14:paraId="68E9512A" w14:textId="77777777" w:rsidR="00792442" w:rsidRPr="00792442" w:rsidRDefault="00792442" w:rsidP="00792442">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792442">
        <w:rPr>
          <w:rFonts w:ascii="Times New Roman" w:eastAsia="Times New Roman" w:hAnsi="Times New Roman" w:cs="Times New Roman"/>
          <w:color w:val="000000"/>
          <w:kern w:val="0"/>
          <w:szCs w:val="24"/>
          <w14:ligatures w14:val="none"/>
        </w:rPr>
        <w:t>The exploratory data analysis revealed several important patterns in the data. I used time series decomposition with an additive model and 12-month seasonality to separate the data into three components: trend, seasonal, and residual. The trend component shows consistent upward movement with noticeable acceleration after 2005, which aligns with major renewable energy policy initiatives during that period. The seasonal component reveals a regular annual pattern—consumption peaks in winter months (January averages 370 trillion BTUs) and drops to its lowest point in September (334 trillion BTUs). These patterns reflect heating demand cycles and hydroelectric generation patterns tied to water availability.</w:t>
      </w:r>
    </w:p>
    <w:p w14:paraId="59DBB563" w14:textId="77777777" w:rsidR="00792442" w:rsidRPr="00792442" w:rsidRDefault="00792442" w:rsidP="00792442">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792442">
        <w:rPr>
          <w:rFonts w:ascii="Times New Roman" w:eastAsia="Times New Roman" w:hAnsi="Times New Roman" w:cs="Times New Roman"/>
          <w:color w:val="000000"/>
          <w:kern w:val="0"/>
          <w:szCs w:val="24"/>
          <w14:ligatures w14:val="none"/>
        </w:rPr>
        <w:t>Testing for stationarity using the Augmented Dickey-Fuller test confirmed what the visual inspection suggested: the series is non-stationary (p-value = 0.9185). This meant the ARIMA models would need first differencing to work properly. The autocorrelation function (ACF) showed significant correlations extending beyond 40 lags, indicating strong persistence in the data and clear seasonal patterns. The partial autocorrelation function (PACF) showed a sharp cutoff after lag 1 with additional spikes at seasonal lags (12 and 24 months). These patterns guided the ARIMA parameter selection toward a (0,1,</w:t>
      </w:r>
      <w:proofErr w:type="gramStart"/>
      <w:r w:rsidRPr="00792442">
        <w:rPr>
          <w:rFonts w:ascii="Times New Roman" w:eastAsia="Times New Roman" w:hAnsi="Times New Roman" w:cs="Times New Roman"/>
          <w:color w:val="000000"/>
          <w:kern w:val="0"/>
          <w:szCs w:val="24"/>
          <w14:ligatures w14:val="none"/>
        </w:rPr>
        <w:t>1)(</w:t>
      </w:r>
      <w:proofErr w:type="gramEnd"/>
      <w:r w:rsidRPr="00792442">
        <w:rPr>
          <w:rFonts w:ascii="Times New Roman" w:eastAsia="Times New Roman" w:hAnsi="Times New Roman" w:cs="Times New Roman"/>
          <w:color w:val="000000"/>
          <w:kern w:val="0"/>
          <w:szCs w:val="24"/>
          <w14:ligatures w14:val="none"/>
        </w:rPr>
        <w:t>0,1,1,12) specification.</w:t>
      </w:r>
    </w:p>
    <w:p w14:paraId="5CCA7DD7" w14:textId="77777777" w:rsidR="00792442" w:rsidRPr="00792442" w:rsidRDefault="00792442" w:rsidP="00792442">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792442">
        <w:rPr>
          <w:rFonts w:ascii="Times New Roman" w:eastAsia="Times New Roman" w:hAnsi="Times New Roman" w:cs="Times New Roman"/>
          <w:color w:val="000000"/>
          <w:kern w:val="0"/>
          <w:szCs w:val="24"/>
          <w14:ligatures w14:val="none"/>
        </w:rPr>
        <w:t>Looking at year-over-year growth rates revealed an average annual growth of 1.97%, though with considerable volatility. Several notable growth peaks stood out: 1978 saw 15.4% growth, 1983 reached 10.2%, and the 2010-2012 period averaged 10.8% growth. These peaks correspond to major policy interventions like renewable energy tax credits and renewable portfolio standards. On the other hand, growth troughs appeared during 2001-2003 (averaging -2.8%), reflecting the impact of economic recession on energy investments.</w:t>
      </w:r>
    </w:p>
    <w:p w14:paraId="7C5382D9" w14:textId="77777777" w:rsidR="00792442" w:rsidRPr="00C14A68" w:rsidRDefault="00792442" w:rsidP="00792442">
      <w:pPr>
        <w:spacing w:after="240" w:line="480" w:lineRule="auto"/>
        <w:jc w:val="center"/>
        <w:rPr>
          <w:rFonts w:ascii="Calibri" w:hAnsi="Calibri" w:cs="Calibr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AC5C58" w14:textId="77777777" w:rsidR="00792442" w:rsidRPr="00C14A68" w:rsidRDefault="00792442" w:rsidP="009E320B">
      <w:pPr>
        <w:spacing w:after="240" w:line="480" w:lineRule="auto"/>
        <w:jc w:val="center"/>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B13D29" w14:textId="7B64E995" w:rsidR="009E320B" w:rsidRPr="00C14A68" w:rsidRDefault="009E320B" w:rsidP="009E320B">
      <w:pPr>
        <w:spacing w:after="240" w:line="480" w:lineRule="auto"/>
        <w:jc w:val="center"/>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6BDFFA" w14:textId="77777777" w:rsidR="009E320B" w:rsidRPr="00C14A68" w:rsidRDefault="009E320B" w:rsidP="009E320B">
      <w:pPr>
        <w:spacing w:after="240" w:line="480" w:lineRule="auto"/>
        <w:jc w:val="center"/>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30D351" w14:textId="27374D6C" w:rsidR="00485F16" w:rsidRPr="00C14A68" w:rsidRDefault="00792442" w:rsidP="00485F16">
      <w:pPr>
        <w:spacing w:after="240" w:line="480" w:lineRule="auto"/>
        <w:jc w:val="center"/>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4A68">
        <w:rPr>
          <w:noProof/>
          <w:color w:val="000000" w:themeColor="text1"/>
          <w:szCs w:val="24"/>
        </w:rPr>
        <w:lastRenderedPageBreak/>
        <w:drawing>
          <wp:inline distT="0" distB="0" distL="0" distR="0" wp14:anchorId="2EE0473A" wp14:editId="09C4552C">
            <wp:extent cx="5943600" cy="4274820"/>
            <wp:effectExtent l="0" t="0" r="0" b="5080"/>
            <wp:docPr id="872834907" name="Picture 8" descr="A graph of different types of ener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34907" name="Picture 8" descr="A graph of different types of energ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274820"/>
                    </a:xfrm>
                    <a:prstGeom prst="rect">
                      <a:avLst/>
                    </a:prstGeom>
                  </pic:spPr>
                </pic:pic>
              </a:graphicData>
            </a:graphic>
          </wp:inline>
        </w:drawing>
      </w:r>
      <w:r w:rsidR="00485F16" w:rsidRPr="00C14A68">
        <w:rPr>
          <w:rFonts w:ascii="Calibri" w:hAnsi="Calibri" w:cs="Calibr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2: Seasonal Decomposition - Observed, Trend, Seasonal, Residual</w:t>
      </w:r>
      <w:r w:rsidR="00485F16" w:rsidRPr="00C14A68">
        <w:rPr>
          <w:rFonts w:ascii="Calibri" w:hAnsi="Calibri" w:cs="Calibri"/>
          <w:noProof/>
          <w:color w:val="000000" w:themeColor="text1"/>
          <w:szCs w:val="24"/>
        </w:rPr>
        <w:lastRenderedPageBreak/>
        <w:drawing>
          <wp:inline distT="0" distB="0" distL="0" distR="0" wp14:anchorId="641E395B" wp14:editId="4A2A8606">
            <wp:extent cx="5943600" cy="3378835"/>
            <wp:effectExtent l="0" t="0" r="0" b="0"/>
            <wp:docPr id="466593217" name="Picture 9"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93217" name="Picture 9" descr="A graph of a functio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78835"/>
                    </a:xfrm>
                    <a:prstGeom prst="rect">
                      <a:avLst/>
                    </a:prstGeom>
                  </pic:spPr>
                </pic:pic>
              </a:graphicData>
            </a:graphic>
          </wp:inline>
        </w:drawing>
      </w:r>
      <w:r w:rsidR="00485F16" w:rsidRPr="00C14A68">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FIGURE 4: ACF/PACF plots showing seasonality structure</w:t>
      </w:r>
    </w:p>
    <w:p w14:paraId="4A185A94" w14:textId="4AF122B5" w:rsidR="00485F16" w:rsidRPr="00C14A68" w:rsidRDefault="00485F16" w:rsidP="00485F16">
      <w:pPr>
        <w:spacing w:after="240" w:line="480" w:lineRule="auto"/>
        <w:jc w:val="center"/>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4A68">
        <w:rPr>
          <w:noProof/>
          <w:szCs w:val="24"/>
        </w:rPr>
        <w:drawing>
          <wp:inline distT="0" distB="0" distL="0" distR="0" wp14:anchorId="4923E543" wp14:editId="3C23F2E8">
            <wp:extent cx="5943600" cy="2520315"/>
            <wp:effectExtent l="0" t="0" r="0" b="0"/>
            <wp:docPr id="53233948" name="Picture 10" descr="A graph showing the growt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3948" name="Picture 10" descr="A graph showing the growth of a stock marke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520315"/>
                    </a:xfrm>
                    <a:prstGeom prst="rect">
                      <a:avLst/>
                    </a:prstGeom>
                  </pic:spPr>
                </pic:pic>
              </a:graphicData>
            </a:graphic>
          </wp:inline>
        </w:drawing>
      </w:r>
      <w:r w:rsidRPr="00C14A68">
        <w:rPr>
          <w:i/>
          <w:iCs/>
          <w:color w:val="0000FF"/>
          <w:szCs w:val="24"/>
        </w:rPr>
        <w:t xml:space="preserve"> </w:t>
      </w:r>
      <w:r w:rsidRPr="00C14A68">
        <w:rPr>
          <w:i/>
          <w:iCs/>
          <w:color w:val="0000FF"/>
          <w:szCs w:val="24"/>
        </w:rPr>
        <w:t xml:space="preserve"> </w:t>
      </w:r>
      <w:r w:rsidRPr="00C14A68">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w:t>
      </w:r>
      <w:r w:rsidRPr="00C14A68">
        <w:rPr>
          <w:i/>
          <w:iCs/>
          <w:color w:val="0000FF"/>
          <w:szCs w:val="24"/>
        </w:rPr>
        <w:t xml:space="preserve"> </w:t>
      </w:r>
      <w:r w:rsidRPr="00C14A68">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Year-over-Year Growth Rate - Average: 1.97%</w:t>
      </w:r>
    </w:p>
    <w:p w14:paraId="4FEF615B" w14:textId="77777777" w:rsidR="00485F16" w:rsidRPr="00C14A68" w:rsidRDefault="00485F16" w:rsidP="00485F16">
      <w:pPr>
        <w:spacing w:after="240" w:line="480" w:lineRule="auto"/>
        <w:jc w:val="center"/>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83DEAC" w14:textId="77777777" w:rsidR="00485F16" w:rsidRPr="00C14A68" w:rsidRDefault="00485F16" w:rsidP="00485F16">
      <w:pPr>
        <w:spacing w:after="240" w:line="480" w:lineRule="auto"/>
        <w:jc w:val="center"/>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96BC1B" w14:textId="2F3C6A11" w:rsidR="00485F16" w:rsidRPr="00C14A68" w:rsidRDefault="00485F16" w:rsidP="00485F16">
      <w:pPr>
        <w:spacing w:after="240" w:line="480" w:lineRule="auto"/>
        <w:jc w:val="center"/>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4A68">
        <w:rPr>
          <w:i/>
          <w:iCs/>
          <w:noProof/>
          <w:color w:val="0000FF"/>
          <w:szCs w:val="24"/>
        </w:rPr>
        <w:lastRenderedPageBreak/>
        <w:drawing>
          <wp:inline distT="0" distB="0" distL="0" distR="0" wp14:anchorId="3BBDD56F" wp14:editId="46F4E5E2">
            <wp:extent cx="5943600" cy="2522855"/>
            <wp:effectExtent l="0" t="0" r="0" b="4445"/>
            <wp:docPr id="1063135851" name="Picture 11" descr="A graph showing the average seasonality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35851" name="Picture 11" descr="A graph showing the average seasonality patter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522855"/>
                    </a:xfrm>
                    <a:prstGeom prst="rect">
                      <a:avLst/>
                    </a:prstGeom>
                  </pic:spPr>
                </pic:pic>
              </a:graphicData>
            </a:graphic>
          </wp:inline>
        </w:drawing>
      </w:r>
      <w:r w:rsidRPr="00C14A68">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9: Monthly Seasonality Pattern - January peak, September trough</w:t>
      </w:r>
    </w:p>
    <w:p w14:paraId="1FBB4FA8" w14:textId="77777777" w:rsidR="00485F16" w:rsidRPr="00485F16" w:rsidRDefault="00485F16" w:rsidP="00485F16">
      <w:pPr>
        <w:spacing w:before="100" w:beforeAutospacing="1" w:after="100" w:afterAutospacing="1" w:line="240" w:lineRule="auto"/>
        <w:outlineLvl w:val="3"/>
        <w:rPr>
          <w:rFonts w:ascii="Times New Roman" w:eastAsia="Times New Roman" w:hAnsi="Times New Roman" w:cs="Times New Roman"/>
          <w:b/>
          <w:bCs/>
          <w:color w:val="000000"/>
          <w:kern w:val="0"/>
          <w:szCs w:val="24"/>
          <w14:ligatures w14:val="none"/>
        </w:rPr>
      </w:pPr>
      <w:r w:rsidRPr="00485F16">
        <w:rPr>
          <w:rFonts w:ascii="Times New Roman" w:eastAsia="Times New Roman" w:hAnsi="Times New Roman" w:cs="Times New Roman"/>
          <w:b/>
          <w:bCs/>
          <w:color w:val="000000"/>
          <w:kern w:val="0"/>
          <w:szCs w:val="24"/>
          <w14:ligatures w14:val="none"/>
        </w:rPr>
        <w:t>2.2.2 Correlation Analysis</w:t>
      </w:r>
    </w:p>
    <w:p w14:paraId="6FEBA1E4" w14:textId="77777777" w:rsidR="00485F16" w:rsidRPr="00485F16" w:rsidRDefault="00485F16" w:rsidP="00485F16">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85F16">
        <w:rPr>
          <w:rFonts w:ascii="Times New Roman" w:eastAsia="Times New Roman" w:hAnsi="Times New Roman" w:cs="Times New Roman"/>
          <w:color w:val="000000"/>
          <w:kern w:val="0"/>
          <w:szCs w:val="24"/>
          <w14:ligatures w14:val="none"/>
        </w:rPr>
        <w:t>The correlation matrix revealed some interesting relationships between the different renewable energy sources. Geothermal, solar, wind, and biomass all showed strong positive correlations with each other (r &gt; 0.68), suggesting these modern renewable technologies tend to grow together. This pattern likely reflects common drivers—similar policy incentives, overlapping technological improvements, and shared market dynamics. The strongest correlation appeared between geothermal and biomass (r = 0.947), while solar and wind showed a correlation of 0.876.</w:t>
      </w:r>
    </w:p>
    <w:p w14:paraId="3DAE9B11" w14:textId="77777777" w:rsidR="00485F16" w:rsidRPr="00485F16" w:rsidRDefault="00485F16" w:rsidP="00485F16">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85F16">
        <w:rPr>
          <w:rFonts w:ascii="Times New Roman" w:eastAsia="Times New Roman" w:hAnsi="Times New Roman" w:cs="Times New Roman"/>
          <w:color w:val="000000"/>
          <w:kern w:val="0"/>
          <w:szCs w:val="24"/>
          <w14:ligatures w14:val="none"/>
        </w:rPr>
        <w:t xml:space="preserve">Hydroelectric power, however, told a different story. It showed negative correlations with all the other sources, ranging from r = -0.451 to r = -0.620. This inverse relationship indicates that as modern renewables grow, </w:t>
      </w:r>
      <w:proofErr w:type="spellStart"/>
      <w:r w:rsidRPr="00485F16">
        <w:rPr>
          <w:rFonts w:ascii="Times New Roman" w:eastAsia="Times New Roman" w:hAnsi="Times New Roman" w:cs="Times New Roman"/>
          <w:color w:val="000000"/>
          <w:kern w:val="0"/>
          <w:szCs w:val="24"/>
          <w14:ligatures w14:val="none"/>
        </w:rPr>
        <w:t>hydroelectric's</w:t>
      </w:r>
      <w:proofErr w:type="spellEnd"/>
      <w:r w:rsidRPr="00485F16">
        <w:rPr>
          <w:rFonts w:ascii="Times New Roman" w:eastAsia="Times New Roman" w:hAnsi="Times New Roman" w:cs="Times New Roman"/>
          <w:color w:val="000000"/>
          <w:kern w:val="0"/>
          <w:szCs w:val="24"/>
          <w14:ligatures w14:val="none"/>
        </w:rPr>
        <w:t xml:space="preserve"> relative share of the portfolio declines. This makes sense for a couple of reasons. First, hydroelectric infrastructure is mature with limited room for expansion—most suitable dam sites in the U.S. are already developed. Second, as the renewable energy portfolio expands, it becomes a zero-sum game in terms of percentage composition. When solar and wind grow rapidly, </w:t>
      </w:r>
      <w:proofErr w:type="spellStart"/>
      <w:r w:rsidRPr="00485F16">
        <w:rPr>
          <w:rFonts w:ascii="Times New Roman" w:eastAsia="Times New Roman" w:hAnsi="Times New Roman" w:cs="Times New Roman"/>
          <w:color w:val="000000"/>
          <w:kern w:val="0"/>
          <w:szCs w:val="24"/>
          <w14:ligatures w14:val="none"/>
        </w:rPr>
        <w:t>hydroelectric's</w:t>
      </w:r>
      <w:proofErr w:type="spellEnd"/>
      <w:r w:rsidRPr="00485F16">
        <w:rPr>
          <w:rFonts w:ascii="Times New Roman" w:eastAsia="Times New Roman" w:hAnsi="Times New Roman" w:cs="Times New Roman"/>
          <w:color w:val="000000"/>
          <w:kern w:val="0"/>
          <w:szCs w:val="24"/>
          <w14:ligatures w14:val="none"/>
        </w:rPr>
        <w:t xml:space="preserve"> share naturally decreases even if its absolute generation remains stable.</w:t>
      </w:r>
    </w:p>
    <w:p w14:paraId="6C57870B" w14:textId="3EE96654" w:rsidR="00485F16" w:rsidRPr="00C14A68" w:rsidRDefault="00485F16" w:rsidP="00485F16">
      <w:pPr>
        <w:spacing w:after="240" w:line="480" w:lineRule="auto"/>
        <w:jc w:val="center"/>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4A68">
        <w:rPr>
          <w:noProof/>
          <w:color w:val="000000" w:themeColor="text1"/>
          <w:szCs w:val="24"/>
        </w:rPr>
        <w:lastRenderedPageBreak/>
        <w:drawing>
          <wp:inline distT="0" distB="0" distL="0" distR="0" wp14:anchorId="1B0787A6" wp14:editId="3BC9C770">
            <wp:extent cx="4114800" cy="3800915"/>
            <wp:effectExtent l="0" t="0" r="0" b="0"/>
            <wp:docPr id="1604745647"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45647" name="Picture 12" descr="A screenshot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39711" cy="3823926"/>
                    </a:xfrm>
                    <a:prstGeom prst="rect">
                      <a:avLst/>
                    </a:prstGeom>
                  </pic:spPr>
                </pic:pic>
              </a:graphicData>
            </a:graphic>
          </wp:inline>
        </w:drawing>
      </w:r>
    </w:p>
    <w:p w14:paraId="7327FC02" w14:textId="332858E0" w:rsidR="001017F8" w:rsidRPr="00C14A68" w:rsidRDefault="001017F8" w:rsidP="001017F8">
      <w:pPr>
        <w:spacing w:after="240" w:line="480" w:lineRule="auto"/>
        <w:jc w:val="center"/>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4A68">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8: Correlation Matrix heatmap </w:t>
      </w:r>
    </w:p>
    <w:p w14:paraId="067A8EC3" w14:textId="5B949BB2" w:rsidR="001017F8" w:rsidRPr="00C14A68" w:rsidRDefault="001017F8" w:rsidP="00485F16">
      <w:pPr>
        <w:spacing w:after="240" w:line="480" w:lineRule="auto"/>
        <w:jc w:val="center"/>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4A68">
        <w:rPr>
          <w:noProof/>
          <w:color w:val="000000" w:themeColor="text1"/>
          <w:szCs w:val="24"/>
        </w:rPr>
        <w:drawing>
          <wp:inline distT="0" distB="0" distL="0" distR="0" wp14:anchorId="6F25DAF8" wp14:editId="7B67B898">
            <wp:extent cx="4897315" cy="2431391"/>
            <wp:effectExtent l="0" t="0" r="5080" b="0"/>
            <wp:docPr id="271148874" name="Picture 13" descr="A graph of energy consum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48874" name="Picture 13" descr="A graph of energy consumption&#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23178" cy="2444231"/>
                    </a:xfrm>
                    <a:prstGeom prst="rect">
                      <a:avLst/>
                    </a:prstGeom>
                  </pic:spPr>
                </pic:pic>
              </a:graphicData>
            </a:graphic>
          </wp:inline>
        </w:drawing>
      </w:r>
    </w:p>
    <w:p w14:paraId="78BFACFD" w14:textId="4F91A39E" w:rsidR="001017F8" w:rsidRPr="00C14A68" w:rsidRDefault="001017F8" w:rsidP="001017F8">
      <w:pPr>
        <w:spacing w:after="240" w:line="480" w:lineRule="auto"/>
        <w:jc w:val="center"/>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4A68">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6: Renewable Energy Composition by Source (Stacked Area Chart)</w:t>
      </w:r>
    </w:p>
    <w:p w14:paraId="69E1D49C" w14:textId="77777777" w:rsidR="001017F8" w:rsidRPr="00C14A68" w:rsidRDefault="001017F8" w:rsidP="001017F8">
      <w:pPr>
        <w:spacing w:after="240" w:line="480" w:lineRule="auto"/>
        <w:jc w:val="center"/>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FC768C" w14:textId="275212A1" w:rsidR="001017F8" w:rsidRPr="00C14A68" w:rsidRDefault="001017F8" w:rsidP="001017F8">
      <w:pPr>
        <w:spacing w:after="240" w:line="480" w:lineRule="auto"/>
        <w:jc w:val="center"/>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4A68">
        <w:rPr>
          <w:noProof/>
          <w:color w:val="000000" w:themeColor="text1"/>
          <w:szCs w:val="24"/>
        </w:rPr>
        <w:drawing>
          <wp:inline distT="0" distB="0" distL="0" distR="0" wp14:anchorId="5BF04774" wp14:editId="73FAE673">
            <wp:extent cx="5943600" cy="3737610"/>
            <wp:effectExtent l="0" t="0" r="0" b="0"/>
            <wp:docPr id="1126845615" name="Picture 14" descr="A graph of energy 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45615" name="Picture 14" descr="A graph of energy sourc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737610"/>
                    </a:xfrm>
                    <a:prstGeom prst="rect">
                      <a:avLst/>
                    </a:prstGeom>
                  </pic:spPr>
                </pic:pic>
              </a:graphicData>
            </a:graphic>
          </wp:inline>
        </w:drawing>
      </w:r>
      <w:r w:rsidRPr="00C14A68">
        <w:rPr>
          <w:i/>
          <w:iCs/>
          <w:color w:val="0000FF"/>
          <w:szCs w:val="24"/>
        </w:rPr>
        <w:t xml:space="preserve"> </w:t>
      </w:r>
      <w:r w:rsidRPr="00C14A68">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FIGURE 7: Individual Source Trends with growth percentages</w:t>
      </w:r>
    </w:p>
    <w:p w14:paraId="60481919" w14:textId="77777777" w:rsidR="001017F8" w:rsidRPr="00C14A68" w:rsidRDefault="001017F8" w:rsidP="001017F8">
      <w:pPr>
        <w:spacing w:after="240" w:line="480" w:lineRule="auto"/>
        <w:jc w:val="center"/>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0E236B" w14:textId="77777777" w:rsidR="001017F8" w:rsidRPr="00C14A68" w:rsidRDefault="001017F8" w:rsidP="001017F8">
      <w:pPr>
        <w:spacing w:after="240" w:line="480" w:lineRule="auto"/>
        <w:jc w:val="center"/>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A99B33" w14:textId="77777777" w:rsidR="001017F8" w:rsidRPr="00C14A68" w:rsidRDefault="001017F8" w:rsidP="001017F8">
      <w:pPr>
        <w:spacing w:after="240" w:line="480" w:lineRule="auto"/>
        <w:jc w:val="center"/>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0807BB" w14:textId="77777777" w:rsidR="001017F8" w:rsidRPr="00C14A68" w:rsidRDefault="001017F8" w:rsidP="001017F8">
      <w:pPr>
        <w:spacing w:after="240" w:line="480" w:lineRule="auto"/>
        <w:jc w:val="center"/>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7075C5" w14:textId="77777777" w:rsidR="001017F8" w:rsidRPr="00C14A68" w:rsidRDefault="001017F8" w:rsidP="001017F8">
      <w:pPr>
        <w:spacing w:after="240" w:line="480" w:lineRule="auto"/>
        <w:jc w:val="center"/>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04D0E0" w14:textId="77777777" w:rsidR="001017F8" w:rsidRPr="00C14A68" w:rsidRDefault="001017F8" w:rsidP="001017F8">
      <w:pPr>
        <w:spacing w:after="240" w:line="480" w:lineRule="auto"/>
        <w:jc w:val="center"/>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F11333" w14:textId="77777777" w:rsidR="001017F8" w:rsidRPr="00C14A68" w:rsidRDefault="001017F8" w:rsidP="001017F8">
      <w:pPr>
        <w:spacing w:after="240" w:line="480" w:lineRule="auto"/>
        <w:jc w:val="center"/>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D07CB6" w14:textId="77777777" w:rsidR="001017F8" w:rsidRPr="001017F8" w:rsidRDefault="001017F8" w:rsidP="001017F8">
      <w:pPr>
        <w:spacing w:before="100" w:beforeAutospacing="1" w:after="100" w:afterAutospacing="1" w:line="240" w:lineRule="auto"/>
        <w:outlineLvl w:val="3"/>
        <w:rPr>
          <w:rFonts w:ascii="Times New Roman" w:eastAsia="Times New Roman" w:hAnsi="Times New Roman" w:cs="Times New Roman"/>
          <w:b/>
          <w:bCs/>
          <w:color w:val="000000"/>
          <w:kern w:val="0"/>
          <w:szCs w:val="24"/>
          <w14:ligatures w14:val="none"/>
        </w:rPr>
      </w:pPr>
      <w:r w:rsidRPr="001017F8">
        <w:rPr>
          <w:rFonts w:ascii="Times New Roman" w:eastAsia="Times New Roman" w:hAnsi="Times New Roman" w:cs="Times New Roman"/>
          <w:b/>
          <w:bCs/>
          <w:color w:val="000000"/>
          <w:kern w:val="0"/>
          <w:szCs w:val="24"/>
          <w14:ligatures w14:val="none"/>
        </w:rPr>
        <w:t>2.2.3 Feature Engineering</w:t>
      </w:r>
    </w:p>
    <w:p w14:paraId="764D36F8" w14:textId="77777777" w:rsidR="001017F8" w:rsidRPr="001017F8" w:rsidRDefault="001017F8" w:rsidP="001017F8">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1017F8">
        <w:rPr>
          <w:rFonts w:ascii="Times New Roman" w:eastAsia="Times New Roman" w:hAnsi="Times New Roman" w:cs="Times New Roman"/>
          <w:color w:val="000000"/>
          <w:kern w:val="0"/>
          <w:szCs w:val="24"/>
          <w14:ligatures w14:val="none"/>
        </w:rPr>
        <w:t>Feature engineering was a critical part of this project, and I was careful to avoid data leakage throughout the process. All features maintained strict temporal ordering—meaning that features at time t only used information from time t-1 and earlier. This ensures the model evaluation reflects genuine out-of-sample forecasting ability rather than inadvertently "peeking" at future data.</w:t>
      </w:r>
    </w:p>
    <w:p w14:paraId="0B42B4AB" w14:textId="77777777" w:rsidR="001017F8" w:rsidRPr="001017F8" w:rsidRDefault="001017F8" w:rsidP="001017F8">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1017F8">
        <w:rPr>
          <w:rFonts w:ascii="Times New Roman" w:eastAsia="Times New Roman" w:hAnsi="Times New Roman" w:cs="Times New Roman"/>
          <w:color w:val="000000"/>
          <w:kern w:val="0"/>
          <w:szCs w:val="24"/>
          <w14:ligatures w14:val="none"/>
        </w:rPr>
        <w:t>I created 15 engineered features in total:</w:t>
      </w:r>
    </w:p>
    <w:p w14:paraId="1919BF3E" w14:textId="77777777" w:rsidR="001017F8" w:rsidRPr="001017F8" w:rsidRDefault="001017F8" w:rsidP="001017F8">
      <w:pPr>
        <w:numPr>
          <w:ilvl w:val="0"/>
          <w:numId w:val="2"/>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1017F8">
        <w:rPr>
          <w:rFonts w:ascii="Times New Roman" w:eastAsia="Times New Roman" w:hAnsi="Times New Roman" w:cs="Times New Roman"/>
          <w:b/>
          <w:bCs/>
          <w:color w:val="000000"/>
          <w:kern w:val="0"/>
          <w:szCs w:val="24"/>
          <w14:ligatures w14:val="none"/>
        </w:rPr>
        <w:t>Temporal features:</w:t>
      </w:r>
      <w:r w:rsidRPr="001017F8">
        <w:rPr>
          <w:rFonts w:ascii="Times New Roman" w:eastAsia="Times New Roman" w:hAnsi="Times New Roman" w:cs="Times New Roman"/>
          <w:color w:val="000000"/>
          <w:kern w:val="0"/>
          <w:szCs w:val="24"/>
          <w14:ligatures w14:val="none"/>
        </w:rPr>
        <w:t> Month, Quarter, and cyclical encodings (</w:t>
      </w:r>
      <w:proofErr w:type="spellStart"/>
      <w:r w:rsidRPr="001017F8">
        <w:rPr>
          <w:rFonts w:ascii="Times New Roman" w:eastAsia="Times New Roman" w:hAnsi="Times New Roman" w:cs="Times New Roman"/>
          <w:color w:val="000000"/>
          <w:kern w:val="0"/>
          <w:szCs w:val="24"/>
          <w14:ligatures w14:val="none"/>
        </w:rPr>
        <w:t>Month_Sin</w:t>
      </w:r>
      <w:proofErr w:type="spellEnd"/>
      <w:r w:rsidRPr="001017F8">
        <w:rPr>
          <w:rFonts w:ascii="Times New Roman" w:eastAsia="Times New Roman" w:hAnsi="Times New Roman" w:cs="Times New Roman"/>
          <w:color w:val="000000"/>
          <w:kern w:val="0"/>
          <w:szCs w:val="24"/>
          <w14:ligatures w14:val="none"/>
        </w:rPr>
        <w:t xml:space="preserve">, </w:t>
      </w:r>
      <w:proofErr w:type="spellStart"/>
      <w:r w:rsidRPr="001017F8">
        <w:rPr>
          <w:rFonts w:ascii="Times New Roman" w:eastAsia="Times New Roman" w:hAnsi="Times New Roman" w:cs="Times New Roman"/>
          <w:color w:val="000000"/>
          <w:kern w:val="0"/>
          <w:szCs w:val="24"/>
          <w14:ligatures w14:val="none"/>
        </w:rPr>
        <w:t>Month_Cos</w:t>
      </w:r>
      <w:proofErr w:type="spellEnd"/>
      <w:r w:rsidRPr="001017F8">
        <w:rPr>
          <w:rFonts w:ascii="Times New Roman" w:eastAsia="Times New Roman" w:hAnsi="Times New Roman" w:cs="Times New Roman"/>
          <w:color w:val="000000"/>
          <w:kern w:val="0"/>
          <w:szCs w:val="24"/>
          <w14:ligatures w14:val="none"/>
        </w:rPr>
        <w:t>) to capture seasonal patterns</w:t>
      </w:r>
    </w:p>
    <w:p w14:paraId="0BCA6D11" w14:textId="77777777" w:rsidR="001017F8" w:rsidRPr="001017F8" w:rsidRDefault="001017F8" w:rsidP="001017F8">
      <w:pPr>
        <w:numPr>
          <w:ilvl w:val="0"/>
          <w:numId w:val="2"/>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1017F8">
        <w:rPr>
          <w:rFonts w:ascii="Times New Roman" w:eastAsia="Times New Roman" w:hAnsi="Times New Roman" w:cs="Times New Roman"/>
          <w:b/>
          <w:bCs/>
          <w:color w:val="000000"/>
          <w:kern w:val="0"/>
          <w:szCs w:val="24"/>
          <w14:ligatures w14:val="none"/>
        </w:rPr>
        <w:t>Trend feature:</w:t>
      </w:r>
      <w:r w:rsidRPr="001017F8">
        <w:rPr>
          <w:rFonts w:ascii="Times New Roman" w:eastAsia="Times New Roman" w:hAnsi="Times New Roman" w:cs="Times New Roman"/>
          <w:color w:val="000000"/>
          <w:kern w:val="0"/>
          <w:szCs w:val="24"/>
          <w14:ligatures w14:val="none"/>
        </w:rPr>
        <w:t> A sequential counter to capture the overall linear growth trend</w:t>
      </w:r>
    </w:p>
    <w:p w14:paraId="6FC6D9D9" w14:textId="77777777" w:rsidR="001017F8" w:rsidRPr="001017F8" w:rsidRDefault="001017F8" w:rsidP="001017F8">
      <w:pPr>
        <w:numPr>
          <w:ilvl w:val="0"/>
          <w:numId w:val="2"/>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1017F8">
        <w:rPr>
          <w:rFonts w:ascii="Times New Roman" w:eastAsia="Times New Roman" w:hAnsi="Times New Roman" w:cs="Times New Roman"/>
          <w:b/>
          <w:bCs/>
          <w:color w:val="000000"/>
          <w:kern w:val="0"/>
          <w:szCs w:val="24"/>
          <w14:ligatures w14:val="none"/>
        </w:rPr>
        <w:t>Lag features:</w:t>
      </w:r>
      <w:r w:rsidRPr="001017F8">
        <w:rPr>
          <w:rFonts w:ascii="Times New Roman" w:eastAsia="Times New Roman" w:hAnsi="Times New Roman" w:cs="Times New Roman"/>
          <w:color w:val="000000"/>
          <w:kern w:val="0"/>
          <w:szCs w:val="24"/>
          <w14:ligatures w14:val="none"/>
        </w:rPr>
        <w:t> Historical values from 1, 3, 6, and 12 months back to incorporate autoregressive patterns</w:t>
      </w:r>
    </w:p>
    <w:p w14:paraId="3AA04E45" w14:textId="77777777" w:rsidR="001017F8" w:rsidRPr="001017F8" w:rsidRDefault="001017F8" w:rsidP="001017F8">
      <w:pPr>
        <w:numPr>
          <w:ilvl w:val="0"/>
          <w:numId w:val="2"/>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1017F8">
        <w:rPr>
          <w:rFonts w:ascii="Times New Roman" w:eastAsia="Times New Roman" w:hAnsi="Times New Roman" w:cs="Times New Roman"/>
          <w:b/>
          <w:bCs/>
          <w:color w:val="000000"/>
          <w:kern w:val="0"/>
          <w:szCs w:val="24"/>
          <w14:ligatures w14:val="none"/>
        </w:rPr>
        <w:t>Rolling statistics:</w:t>
      </w:r>
      <w:r w:rsidRPr="001017F8">
        <w:rPr>
          <w:rFonts w:ascii="Times New Roman" w:eastAsia="Times New Roman" w:hAnsi="Times New Roman" w:cs="Times New Roman"/>
          <w:color w:val="000000"/>
          <w:kern w:val="0"/>
          <w:szCs w:val="24"/>
          <w14:ligatures w14:val="none"/>
        </w:rPr>
        <w:t> Moving averages and standard deviations calculated over 3, 6, and 12-month windows to capture momentum and volatility</w:t>
      </w:r>
    </w:p>
    <w:p w14:paraId="32E7913F" w14:textId="77777777" w:rsidR="001017F8" w:rsidRPr="001017F8" w:rsidRDefault="001017F8" w:rsidP="001017F8">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1017F8">
        <w:rPr>
          <w:rFonts w:ascii="Times New Roman" w:eastAsia="Times New Roman" w:hAnsi="Times New Roman" w:cs="Times New Roman"/>
          <w:color w:val="000000"/>
          <w:kern w:val="0"/>
          <w:szCs w:val="24"/>
          <w14:ligatures w14:val="none"/>
        </w:rPr>
        <w:t xml:space="preserve">After building the models, I used Random Forest's feature importance analysis to understand which features </w:t>
      </w:r>
      <w:proofErr w:type="gramStart"/>
      <w:r w:rsidRPr="001017F8">
        <w:rPr>
          <w:rFonts w:ascii="Times New Roman" w:eastAsia="Times New Roman" w:hAnsi="Times New Roman" w:cs="Times New Roman"/>
          <w:color w:val="000000"/>
          <w:kern w:val="0"/>
          <w:szCs w:val="24"/>
          <w14:ligatures w14:val="none"/>
        </w:rPr>
        <w:t>actually mattered</w:t>
      </w:r>
      <w:proofErr w:type="gramEnd"/>
      <w:r w:rsidRPr="001017F8">
        <w:rPr>
          <w:rFonts w:ascii="Times New Roman" w:eastAsia="Times New Roman" w:hAnsi="Times New Roman" w:cs="Times New Roman"/>
          <w:color w:val="000000"/>
          <w:kern w:val="0"/>
          <w:szCs w:val="24"/>
          <w14:ligatures w14:val="none"/>
        </w:rPr>
        <w:t xml:space="preserve"> most. The results were striking: the 3-month rolling mean dominated with an importance score of 0.7169, accounting for over 71% of the model's predictive power. This indicates that the recent short-term average provides the strongest signal for forecasting—recent trends matter more than distant history.</w:t>
      </w:r>
    </w:p>
    <w:p w14:paraId="78BBF21A" w14:textId="77777777" w:rsidR="001017F8" w:rsidRPr="00C14A68" w:rsidRDefault="001017F8" w:rsidP="001017F8">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1017F8">
        <w:rPr>
          <w:rFonts w:ascii="Times New Roman" w:eastAsia="Times New Roman" w:hAnsi="Times New Roman" w:cs="Times New Roman"/>
          <w:color w:val="000000"/>
          <w:kern w:val="0"/>
          <w:szCs w:val="24"/>
          <w14:ligatures w14:val="none"/>
        </w:rPr>
        <w:t>The 12-month lag came in second with an importance score of 0.1186, capturing the annual seasonal cycle. The 6-month rolling mean (0.0618) and trend feature (0.0511) ranked third and fourth. Interestingly, the individual month indicators contributed very little (less than 0.002 each), suggesting the cyclical sine and cosine encodings effectively captured seasonal patterns without needing separate dummy variables for each month.</w:t>
      </w:r>
    </w:p>
    <w:p w14:paraId="466D02D1" w14:textId="77777777" w:rsidR="00432166" w:rsidRPr="00C14A68" w:rsidRDefault="00432166" w:rsidP="001017F8">
      <w:pPr>
        <w:spacing w:before="100" w:beforeAutospacing="1" w:after="100" w:afterAutospacing="1" w:line="240" w:lineRule="auto"/>
        <w:rPr>
          <w:rFonts w:ascii="Times New Roman" w:eastAsia="Times New Roman" w:hAnsi="Times New Roman" w:cs="Times New Roman"/>
          <w:color w:val="000000"/>
          <w:kern w:val="0"/>
          <w:szCs w:val="24"/>
          <w14:ligatures w14:val="none"/>
        </w:rPr>
      </w:pPr>
    </w:p>
    <w:p w14:paraId="4E0FB1B5" w14:textId="77777777" w:rsidR="00432166" w:rsidRPr="00C14A68" w:rsidRDefault="00432166" w:rsidP="001017F8">
      <w:pPr>
        <w:spacing w:before="100" w:beforeAutospacing="1" w:after="100" w:afterAutospacing="1" w:line="240" w:lineRule="auto"/>
        <w:rPr>
          <w:rFonts w:ascii="Times New Roman" w:eastAsia="Times New Roman" w:hAnsi="Times New Roman" w:cs="Times New Roman"/>
          <w:color w:val="000000"/>
          <w:kern w:val="0"/>
          <w:szCs w:val="24"/>
          <w14:ligatures w14:val="none"/>
        </w:rPr>
      </w:pPr>
    </w:p>
    <w:p w14:paraId="59D701C6" w14:textId="77777777" w:rsidR="00432166" w:rsidRPr="00C14A68" w:rsidRDefault="00432166" w:rsidP="001017F8">
      <w:pPr>
        <w:spacing w:before="100" w:beforeAutospacing="1" w:after="100" w:afterAutospacing="1" w:line="240" w:lineRule="auto"/>
        <w:rPr>
          <w:rFonts w:ascii="Times New Roman" w:eastAsia="Times New Roman" w:hAnsi="Times New Roman" w:cs="Times New Roman"/>
          <w:color w:val="000000"/>
          <w:kern w:val="0"/>
          <w:szCs w:val="24"/>
          <w14:ligatures w14:val="none"/>
        </w:rPr>
      </w:pPr>
    </w:p>
    <w:p w14:paraId="4ED046C3" w14:textId="77777777" w:rsidR="00432166" w:rsidRPr="00C14A68" w:rsidRDefault="00432166" w:rsidP="001017F8">
      <w:pPr>
        <w:spacing w:before="100" w:beforeAutospacing="1" w:after="100" w:afterAutospacing="1" w:line="240" w:lineRule="auto"/>
        <w:rPr>
          <w:rFonts w:ascii="Times New Roman" w:eastAsia="Times New Roman" w:hAnsi="Times New Roman" w:cs="Times New Roman"/>
          <w:color w:val="000000"/>
          <w:kern w:val="0"/>
          <w:szCs w:val="24"/>
          <w14:ligatures w14:val="none"/>
        </w:rPr>
      </w:pPr>
    </w:p>
    <w:p w14:paraId="18F6F1E0" w14:textId="77777777" w:rsidR="00432166" w:rsidRPr="00C14A68" w:rsidRDefault="00432166" w:rsidP="001017F8">
      <w:pPr>
        <w:spacing w:before="100" w:beforeAutospacing="1" w:after="100" w:afterAutospacing="1" w:line="240" w:lineRule="auto"/>
        <w:rPr>
          <w:rFonts w:ascii="Times New Roman" w:eastAsia="Times New Roman" w:hAnsi="Times New Roman" w:cs="Times New Roman"/>
          <w:color w:val="000000"/>
          <w:kern w:val="0"/>
          <w:szCs w:val="24"/>
          <w14:ligatures w14:val="none"/>
        </w:rPr>
      </w:pPr>
    </w:p>
    <w:p w14:paraId="1306BCCF" w14:textId="77777777" w:rsidR="00432166" w:rsidRPr="00C14A68" w:rsidRDefault="00432166" w:rsidP="001017F8">
      <w:pPr>
        <w:spacing w:before="100" w:beforeAutospacing="1" w:after="100" w:afterAutospacing="1" w:line="240" w:lineRule="auto"/>
        <w:rPr>
          <w:rFonts w:ascii="Times New Roman" w:eastAsia="Times New Roman" w:hAnsi="Times New Roman" w:cs="Times New Roman"/>
          <w:color w:val="000000"/>
          <w:kern w:val="0"/>
          <w:szCs w:val="24"/>
          <w14:ligatures w14:val="none"/>
        </w:rPr>
      </w:pPr>
    </w:p>
    <w:p w14:paraId="253A4957" w14:textId="77777777" w:rsidR="00432166" w:rsidRPr="00C14A68" w:rsidRDefault="00432166" w:rsidP="001017F8">
      <w:pPr>
        <w:spacing w:before="100" w:beforeAutospacing="1" w:after="100" w:afterAutospacing="1" w:line="240" w:lineRule="auto"/>
        <w:rPr>
          <w:rFonts w:ascii="Times New Roman" w:eastAsia="Times New Roman" w:hAnsi="Times New Roman" w:cs="Times New Roman"/>
          <w:color w:val="000000"/>
          <w:kern w:val="0"/>
          <w:szCs w:val="24"/>
          <w14:ligatures w14:val="none"/>
        </w:rPr>
      </w:pPr>
    </w:p>
    <w:p w14:paraId="0133B961" w14:textId="77777777" w:rsidR="00432166" w:rsidRPr="00C14A68" w:rsidRDefault="00432166" w:rsidP="001017F8">
      <w:pPr>
        <w:spacing w:before="100" w:beforeAutospacing="1" w:after="100" w:afterAutospacing="1" w:line="240" w:lineRule="auto"/>
        <w:rPr>
          <w:rFonts w:ascii="Times New Roman" w:eastAsia="Times New Roman" w:hAnsi="Times New Roman" w:cs="Times New Roman"/>
          <w:color w:val="000000"/>
          <w:kern w:val="0"/>
          <w:szCs w:val="24"/>
          <w14:ligatures w14:val="none"/>
        </w:rPr>
      </w:pPr>
    </w:p>
    <w:p w14:paraId="1743B225" w14:textId="3ABD3B38" w:rsidR="00432166" w:rsidRPr="00C14A68" w:rsidRDefault="00432166" w:rsidP="00432166">
      <w:pPr>
        <w:spacing w:after="240" w:line="480" w:lineRule="auto"/>
        <w:jc w:val="center"/>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4A68">
        <w:rPr>
          <w:i/>
          <w:iCs/>
          <w:noProof/>
          <w:color w:val="0000FF"/>
          <w:szCs w:val="24"/>
        </w:rPr>
        <w:drawing>
          <wp:inline distT="0" distB="0" distL="0" distR="0" wp14:anchorId="7F8C559F" wp14:editId="28BB78EC">
            <wp:extent cx="5662246" cy="4550365"/>
            <wp:effectExtent l="0" t="0" r="2540" b="0"/>
            <wp:docPr id="89556908" name="Picture 16"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6908" name="Picture 16" descr="A graph with numbers and a ba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29492" cy="4604406"/>
                    </a:xfrm>
                    <a:prstGeom prst="rect">
                      <a:avLst/>
                    </a:prstGeom>
                  </pic:spPr>
                </pic:pic>
              </a:graphicData>
            </a:graphic>
          </wp:inline>
        </w:drawing>
      </w:r>
      <w:r w:rsidRPr="00C14A68">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14: Top 15 Feature Importance from Random Forest</w:t>
      </w:r>
    </w:p>
    <w:p w14:paraId="4F274A32" w14:textId="77777777" w:rsidR="00432166" w:rsidRPr="00432166" w:rsidRDefault="00432166" w:rsidP="00432166">
      <w:pPr>
        <w:spacing w:before="100" w:beforeAutospacing="1" w:after="100" w:afterAutospacing="1" w:line="240" w:lineRule="auto"/>
        <w:outlineLvl w:val="3"/>
        <w:rPr>
          <w:rFonts w:ascii="Times New Roman" w:eastAsia="Times New Roman" w:hAnsi="Times New Roman" w:cs="Times New Roman"/>
          <w:b/>
          <w:bCs/>
          <w:color w:val="000000"/>
          <w:kern w:val="0"/>
          <w:szCs w:val="24"/>
          <w14:ligatures w14:val="none"/>
        </w:rPr>
      </w:pPr>
      <w:r w:rsidRPr="00432166">
        <w:rPr>
          <w:rFonts w:ascii="Times New Roman" w:eastAsia="Times New Roman" w:hAnsi="Times New Roman" w:cs="Times New Roman"/>
          <w:b/>
          <w:bCs/>
          <w:color w:val="000000"/>
          <w:kern w:val="0"/>
          <w:szCs w:val="24"/>
          <w14:ligatures w14:val="none"/>
        </w:rPr>
        <w:t>2.2.4 Model Development and Training</w:t>
      </w:r>
    </w:p>
    <w:p w14:paraId="31563E6D" w14:textId="77777777" w:rsidR="00432166" w:rsidRPr="00432166" w:rsidRDefault="00432166" w:rsidP="00432166">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32166">
        <w:rPr>
          <w:rFonts w:ascii="Times New Roman" w:eastAsia="Times New Roman" w:hAnsi="Times New Roman" w:cs="Times New Roman"/>
          <w:color w:val="000000"/>
          <w:kern w:val="0"/>
          <w:szCs w:val="24"/>
          <w14:ligatures w14:val="none"/>
        </w:rPr>
        <w:t>I developed six models representing different theoretical approaches, using a temporal train-test split to ensure proper evaluation. The training data covered 1973-2019, giving me 552 observations after creating the engineered features. The test data spanned 2020-2024 with 49 observations. This roughly 90/10 split provided enough training data while reserving recent observations for realistic forecast evaluation.</w:t>
      </w:r>
    </w:p>
    <w:p w14:paraId="54A5A267" w14:textId="77777777" w:rsidR="00432166" w:rsidRPr="00432166" w:rsidRDefault="00432166" w:rsidP="00432166">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32166">
        <w:rPr>
          <w:rFonts w:ascii="Times New Roman" w:eastAsia="Times New Roman" w:hAnsi="Times New Roman" w:cs="Times New Roman"/>
          <w:color w:val="000000"/>
          <w:kern w:val="0"/>
          <w:szCs w:val="24"/>
          <w14:ligatures w14:val="none"/>
        </w:rPr>
        <w:t>The six models I built were:</w:t>
      </w:r>
    </w:p>
    <w:p w14:paraId="71543C35" w14:textId="77777777" w:rsidR="00432166" w:rsidRPr="00432166" w:rsidRDefault="00432166" w:rsidP="00432166">
      <w:pPr>
        <w:numPr>
          <w:ilvl w:val="0"/>
          <w:numId w:val="3"/>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32166">
        <w:rPr>
          <w:rFonts w:ascii="Times New Roman" w:eastAsia="Times New Roman" w:hAnsi="Times New Roman" w:cs="Times New Roman"/>
          <w:b/>
          <w:bCs/>
          <w:color w:val="000000"/>
          <w:kern w:val="0"/>
          <w:szCs w:val="24"/>
          <w14:ligatures w14:val="none"/>
        </w:rPr>
        <w:t>Linear Regression</w:t>
      </w:r>
      <w:r w:rsidRPr="00432166">
        <w:rPr>
          <w:rFonts w:ascii="Times New Roman" w:eastAsia="Times New Roman" w:hAnsi="Times New Roman" w:cs="Times New Roman"/>
          <w:color w:val="000000"/>
          <w:kern w:val="0"/>
          <w:szCs w:val="24"/>
          <w14:ligatures w14:val="none"/>
        </w:rPr>
        <w:t xml:space="preserve"> with </w:t>
      </w:r>
      <w:proofErr w:type="spellStart"/>
      <w:r w:rsidRPr="00432166">
        <w:rPr>
          <w:rFonts w:ascii="Times New Roman" w:eastAsia="Times New Roman" w:hAnsi="Times New Roman" w:cs="Times New Roman"/>
          <w:color w:val="000000"/>
          <w:kern w:val="0"/>
          <w:szCs w:val="24"/>
          <w14:ligatures w14:val="none"/>
        </w:rPr>
        <w:t>StandardScaler</w:t>
      </w:r>
      <w:proofErr w:type="spellEnd"/>
      <w:r w:rsidRPr="00432166">
        <w:rPr>
          <w:rFonts w:ascii="Times New Roman" w:eastAsia="Times New Roman" w:hAnsi="Times New Roman" w:cs="Times New Roman"/>
          <w:color w:val="000000"/>
          <w:kern w:val="0"/>
          <w:szCs w:val="24"/>
          <w14:ligatures w14:val="none"/>
        </w:rPr>
        <w:t xml:space="preserve"> normalization—a baseline model that assumes linear relationships between features and consumption</w:t>
      </w:r>
    </w:p>
    <w:p w14:paraId="4796A195" w14:textId="77777777" w:rsidR="00432166" w:rsidRPr="00432166" w:rsidRDefault="00432166" w:rsidP="00432166">
      <w:pPr>
        <w:numPr>
          <w:ilvl w:val="0"/>
          <w:numId w:val="3"/>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32166">
        <w:rPr>
          <w:rFonts w:ascii="Times New Roman" w:eastAsia="Times New Roman" w:hAnsi="Times New Roman" w:cs="Times New Roman"/>
          <w:b/>
          <w:bCs/>
          <w:color w:val="000000"/>
          <w:kern w:val="0"/>
          <w:szCs w:val="24"/>
          <w14:ligatures w14:val="none"/>
        </w:rPr>
        <w:t>Random Forest</w:t>
      </w:r>
      <w:r w:rsidRPr="00432166">
        <w:rPr>
          <w:rFonts w:ascii="Times New Roman" w:eastAsia="Times New Roman" w:hAnsi="Times New Roman" w:cs="Times New Roman"/>
          <w:color w:val="000000"/>
          <w:kern w:val="0"/>
          <w:szCs w:val="24"/>
          <w14:ligatures w14:val="none"/>
        </w:rPr>
        <w:t xml:space="preserve"> with 200 trees and maximum depth of 20—captures non-linear patterns by combining predictions from many </w:t>
      </w:r>
      <w:proofErr w:type="gramStart"/>
      <w:r w:rsidRPr="00432166">
        <w:rPr>
          <w:rFonts w:ascii="Times New Roman" w:eastAsia="Times New Roman" w:hAnsi="Times New Roman" w:cs="Times New Roman"/>
          <w:color w:val="000000"/>
          <w:kern w:val="0"/>
          <w:szCs w:val="24"/>
          <w14:ligatures w14:val="none"/>
        </w:rPr>
        <w:t>decision</w:t>
      </w:r>
      <w:proofErr w:type="gramEnd"/>
      <w:r w:rsidRPr="00432166">
        <w:rPr>
          <w:rFonts w:ascii="Times New Roman" w:eastAsia="Times New Roman" w:hAnsi="Times New Roman" w:cs="Times New Roman"/>
          <w:color w:val="000000"/>
          <w:kern w:val="0"/>
          <w:szCs w:val="24"/>
          <w14:ligatures w14:val="none"/>
        </w:rPr>
        <w:t xml:space="preserve"> trees</w:t>
      </w:r>
    </w:p>
    <w:p w14:paraId="78C1B35B" w14:textId="77777777" w:rsidR="00432166" w:rsidRPr="00432166" w:rsidRDefault="00432166" w:rsidP="00432166">
      <w:pPr>
        <w:numPr>
          <w:ilvl w:val="0"/>
          <w:numId w:val="3"/>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32166">
        <w:rPr>
          <w:rFonts w:ascii="Times New Roman" w:eastAsia="Times New Roman" w:hAnsi="Times New Roman" w:cs="Times New Roman"/>
          <w:b/>
          <w:bCs/>
          <w:color w:val="000000"/>
          <w:kern w:val="0"/>
          <w:szCs w:val="24"/>
          <w14:ligatures w14:val="none"/>
        </w:rPr>
        <w:lastRenderedPageBreak/>
        <w:t>Gradient Boosting</w:t>
      </w:r>
      <w:r w:rsidRPr="00432166">
        <w:rPr>
          <w:rFonts w:ascii="Times New Roman" w:eastAsia="Times New Roman" w:hAnsi="Times New Roman" w:cs="Times New Roman"/>
          <w:color w:val="000000"/>
          <w:kern w:val="0"/>
          <w:szCs w:val="24"/>
          <w14:ligatures w14:val="none"/>
        </w:rPr>
        <w:t> with 200 estimators, learning rate of 0.05, and maximum depth of 7—builds trees sequentially, with each tree correcting errors from previous ones</w:t>
      </w:r>
    </w:p>
    <w:p w14:paraId="3A0AAF48" w14:textId="77777777" w:rsidR="00432166" w:rsidRPr="00432166" w:rsidRDefault="00432166" w:rsidP="00432166">
      <w:pPr>
        <w:numPr>
          <w:ilvl w:val="0"/>
          <w:numId w:val="3"/>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32166">
        <w:rPr>
          <w:rFonts w:ascii="Times New Roman" w:eastAsia="Times New Roman" w:hAnsi="Times New Roman" w:cs="Times New Roman"/>
          <w:b/>
          <w:bCs/>
          <w:color w:val="000000"/>
          <w:kern w:val="0"/>
          <w:szCs w:val="24"/>
          <w14:ligatures w14:val="none"/>
        </w:rPr>
        <w:t>Support Vector Regression</w:t>
      </w:r>
      <w:r w:rsidRPr="00432166">
        <w:rPr>
          <w:rFonts w:ascii="Times New Roman" w:eastAsia="Times New Roman" w:hAnsi="Times New Roman" w:cs="Times New Roman"/>
          <w:color w:val="000000"/>
          <w:kern w:val="0"/>
          <w:szCs w:val="24"/>
          <w14:ligatures w14:val="none"/>
        </w:rPr>
        <w:t> with RBF kernel, C=1000, and epsilon=0.1—projects data into higher dimensions to find complex patterns</w:t>
      </w:r>
    </w:p>
    <w:p w14:paraId="46F33559" w14:textId="77777777" w:rsidR="00432166" w:rsidRPr="00432166" w:rsidRDefault="00432166" w:rsidP="00432166">
      <w:pPr>
        <w:numPr>
          <w:ilvl w:val="0"/>
          <w:numId w:val="3"/>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32166">
        <w:rPr>
          <w:rFonts w:ascii="Times New Roman" w:eastAsia="Times New Roman" w:hAnsi="Times New Roman" w:cs="Times New Roman"/>
          <w:b/>
          <w:bCs/>
          <w:color w:val="000000"/>
          <w:kern w:val="0"/>
          <w:szCs w:val="24"/>
          <w14:ligatures w14:val="none"/>
        </w:rPr>
        <w:t>Neural Network (MLP)</w:t>
      </w:r>
      <w:r w:rsidRPr="00432166">
        <w:rPr>
          <w:rFonts w:ascii="Times New Roman" w:eastAsia="Times New Roman" w:hAnsi="Times New Roman" w:cs="Times New Roman"/>
          <w:color w:val="000000"/>
          <w:kern w:val="0"/>
          <w:szCs w:val="24"/>
          <w14:ligatures w14:val="none"/>
        </w:rPr>
        <w:t> with three hidden layers (100, 50, and 25 neurons) and early stopping—learns complex non-linear relationships through multiple processing layers</w:t>
      </w:r>
    </w:p>
    <w:p w14:paraId="7B526927" w14:textId="596DF639" w:rsidR="00432166" w:rsidRPr="00432166" w:rsidRDefault="00432166" w:rsidP="00432166">
      <w:pPr>
        <w:numPr>
          <w:ilvl w:val="0"/>
          <w:numId w:val="3"/>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32166">
        <w:rPr>
          <w:rFonts w:ascii="Times New Roman" w:eastAsia="Times New Roman" w:hAnsi="Times New Roman" w:cs="Times New Roman"/>
          <w:b/>
          <w:bCs/>
          <w:color w:val="000000"/>
          <w:kern w:val="0"/>
          <w:szCs w:val="24"/>
          <w14:ligatures w14:val="none"/>
        </w:rPr>
        <w:t>ARIMA Seasonal (0,1,</w:t>
      </w:r>
      <w:proofErr w:type="gramStart"/>
      <w:r w:rsidRPr="00432166">
        <w:rPr>
          <w:rFonts w:ascii="Times New Roman" w:eastAsia="Times New Roman" w:hAnsi="Times New Roman" w:cs="Times New Roman"/>
          <w:b/>
          <w:bCs/>
          <w:color w:val="000000"/>
          <w:kern w:val="0"/>
          <w:szCs w:val="24"/>
          <w14:ligatures w14:val="none"/>
        </w:rPr>
        <w:t>1)(</w:t>
      </w:r>
      <w:proofErr w:type="gramEnd"/>
      <w:r w:rsidRPr="00432166">
        <w:rPr>
          <w:rFonts w:ascii="Times New Roman" w:eastAsia="Times New Roman" w:hAnsi="Times New Roman" w:cs="Times New Roman"/>
          <w:b/>
          <w:bCs/>
          <w:color w:val="000000"/>
          <w:kern w:val="0"/>
          <w:szCs w:val="24"/>
          <w14:ligatures w14:val="none"/>
        </w:rPr>
        <w:t>0,1,1,12)</w:t>
      </w:r>
      <w:r w:rsidRPr="00432166">
        <w:rPr>
          <w:rFonts w:ascii="Times New Roman" w:eastAsia="Times New Roman" w:hAnsi="Times New Roman" w:cs="Times New Roman"/>
          <w:color w:val="000000"/>
          <w:kern w:val="0"/>
          <w:szCs w:val="24"/>
          <w14:ligatures w14:val="none"/>
        </w:rPr>
        <w:t>—</w:t>
      </w:r>
      <w:r w:rsidR="00C14A68">
        <w:rPr>
          <w:rFonts w:ascii="Times New Roman" w:eastAsia="Times New Roman" w:hAnsi="Times New Roman" w:cs="Times New Roman"/>
          <w:color w:val="000000"/>
          <w:kern w:val="0"/>
          <w:szCs w:val="24"/>
          <w14:ligatures w14:val="none"/>
        </w:rPr>
        <w:t xml:space="preserve">We </w:t>
      </w:r>
      <w:r w:rsidRPr="00432166">
        <w:rPr>
          <w:rFonts w:ascii="Times New Roman" w:eastAsia="Times New Roman" w:hAnsi="Times New Roman" w:cs="Times New Roman"/>
          <w:color w:val="000000"/>
          <w:kern w:val="0"/>
          <w:szCs w:val="24"/>
          <w14:ligatures w14:val="none"/>
        </w:rPr>
        <w:t xml:space="preserve">selected these parameters through grid search across seven different configurations. The model uses first differencing to achieve stationarity and an </w:t>
      </w:r>
      <w:proofErr w:type="gramStart"/>
      <w:r w:rsidRPr="00432166">
        <w:rPr>
          <w:rFonts w:ascii="Times New Roman" w:eastAsia="Times New Roman" w:hAnsi="Times New Roman" w:cs="Times New Roman"/>
          <w:color w:val="000000"/>
          <w:kern w:val="0"/>
          <w:szCs w:val="24"/>
          <w14:ligatures w14:val="none"/>
        </w:rPr>
        <w:t>MA(</w:t>
      </w:r>
      <w:proofErr w:type="gramEnd"/>
      <w:r w:rsidRPr="00432166">
        <w:rPr>
          <w:rFonts w:ascii="Times New Roman" w:eastAsia="Times New Roman" w:hAnsi="Times New Roman" w:cs="Times New Roman"/>
          <w:color w:val="000000"/>
          <w:kern w:val="0"/>
          <w:szCs w:val="24"/>
          <w14:ligatures w14:val="none"/>
        </w:rPr>
        <w:t>1) component to capture short-term dynamics</w:t>
      </w:r>
    </w:p>
    <w:p w14:paraId="2398E47F" w14:textId="77777777" w:rsidR="00432166" w:rsidRPr="00432166" w:rsidRDefault="00432166" w:rsidP="00432166">
      <w:pPr>
        <w:spacing w:before="100" w:beforeAutospacing="1" w:after="100" w:afterAutospacing="1" w:line="240" w:lineRule="auto"/>
        <w:outlineLvl w:val="3"/>
        <w:rPr>
          <w:rFonts w:ascii="Times New Roman" w:eastAsia="Times New Roman" w:hAnsi="Times New Roman" w:cs="Times New Roman"/>
          <w:b/>
          <w:bCs/>
          <w:color w:val="000000"/>
          <w:kern w:val="0"/>
          <w:szCs w:val="24"/>
          <w14:ligatures w14:val="none"/>
        </w:rPr>
      </w:pPr>
      <w:r w:rsidRPr="00432166">
        <w:rPr>
          <w:rFonts w:ascii="Times New Roman" w:eastAsia="Times New Roman" w:hAnsi="Times New Roman" w:cs="Times New Roman"/>
          <w:b/>
          <w:bCs/>
          <w:color w:val="000000"/>
          <w:kern w:val="0"/>
          <w:szCs w:val="24"/>
          <w14:ligatures w14:val="none"/>
        </w:rPr>
        <w:t>2.2.5 Model Evaluation Metrics</w:t>
      </w:r>
    </w:p>
    <w:p w14:paraId="3B82A232" w14:textId="77777777" w:rsidR="00432166" w:rsidRPr="00432166" w:rsidRDefault="00432166" w:rsidP="00432166">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32166">
        <w:rPr>
          <w:rFonts w:ascii="Times New Roman" w:eastAsia="Times New Roman" w:hAnsi="Times New Roman" w:cs="Times New Roman"/>
          <w:color w:val="000000"/>
          <w:kern w:val="0"/>
          <w:szCs w:val="24"/>
          <w14:ligatures w14:val="none"/>
        </w:rPr>
        <w:t>I evaluated model performance using four complementary metrics, each revealing different aspects of accuracy:</w:t>
      </w:r>
    </w:p>
    <w:p w14:paraId="1D952BA3" w14:textId="77777777" w:rsidR="00432166" w:rsidRPr="00432166" w:rsidRDefault="00432166" w:rsidP="00432166">
      <w:pPr>
        <w:numPr>
          <w:ilvl w:val="0"/>
          <w:numId w:val="4"/>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32166">
        <w:rPr>
          <w:rFonts w:ascii="Times New Roman" w:eastAsia="Times New Roman" w:hAnsi="Times New Roman" w:cs="Times New Roman"/>
          <w:b/>
          <w:bCs/>
          <w:color w:val="000000"/>
          <w:kern w:val="0"/>
          <w:szCs w:val="24"/>
          <w14:ligatures w14:val="none"/>
        </w:rPr>
        <w:t>R² Score:</w:t>
      </w:r>
      <w:r w:rsidRPr="00432166">
        <w:rPr>
          <w:rFonts w:ascii="Times New Roman" w:eastAsia="Times New Roman" w:hAnsi="Times New Roman" w:cs="Times New Roman"/>
          <w:color w:val="000000"/>
          <w:kern w:val="0"/>
          <w:szCs w:val="24"/>
          <w14:ligatures w14:val="none"/>
        </w:rPr>
        <w:t> Shows the proportion of variance the model explains (ranges from negative infinity to 1, with 1 being perfect)</w:t>
      </w:r>
    </w:p>
    <w:p w14:paraId="7EB7CD06" w14:textId="77777777" w:rsidR="00432166" w:rsidRPr="00432166" w:rsidRDefault="00432166" w:rsidP="00432166">
      <w:pPr>
        <w:numPr>
          <w:ilvl w:val="0"/>
          <w:numId w:val="4"/>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32166">
        <w:rPr>
          <w:rFonts w:ascii="Times New Roman" w:eastAsia="Times New Roman" w:hAnsi="Times New Roman" w:cs="Times New Roman"/>
          <w:b/>
          <w:bCs/>
          <w:color w:val="000000"/>
          <w:kern w:val="0"/>
          <w:szCs w:val="24"/>
          <w14:ligatures w14:val="none"/>
        </w:rPr>
        <w:t>Root Mean Squared Error (RMSE):</w:t>
      </w:r>
      <w:r w:rsidRPr="00432166">
        <w:rPr>
          <w:rFonts w:ascii="Times New Roman" w:eastAsia="Times New Roman" w:hAnsi="Times New Roman" w:cs="Times New Roman"/>
          <w:color w:val="000000"/>
          <w:kern w:val="0"/>
          <w:szCs w:val="24"/>
          <w14:ligatures w14:val="none"/>
        </w:rPr>
        <w:t> Measures average prediction error in trillion BTUs, penalizing large errors more heavily</w:t>
      </w:r>
    </w:p>
    <w:p w14:paraId="6C4163F3" w14:textId="77777777" w:rsidR="00432166" w:rsidRPr="00432166" w:rsidRDefault="00432166" w:rsidP="00432166">
      <w:pPr>
        <w:numPr>
          <w:ilvl w:val="0"/>
          <w:numId w:val="4"/>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32166">
        <w:rPr>
          <w:rFonts w:ascii="Times New Roman" w:eastAsia="Times New Roman" w:hAnsi="Times New Roman" w:cs="Times New Roman"/>
          <w:b/>
          <w:bCs/>
          <w:color w:val="000000"/>
          <w:kern w:val="0"/>
          <w:szCs w:val="24"/>
          <w14:ligatures w14:val="none"/>
        </w:rPr>
        <w:t>Mean Absolute Error (MAE):</w:t>
      </w:r>
      <w:r w:rsidRPr="00432166">
        <w:rPr>
          <w:rFonts w:ascii="Times New Roman" w:eastAsia="Times New Roman" w:hAnsi="Times New Roman" w:cs="Times New Roman"/>
          <w:color w:val="000000"/>
          <w:kern w:val="0"/>
          <w:szCs w:val="24"/>
          <w14:ligatures w14:val="none"/>
        </w:rPr>
        <w:t> Calculates average absolute deviation, which is more robust to outliers than RMSE</w:t>
      </w:r>
    </w:p>
    <w:p w14:paraId="23A45C63" w14:textId="77777777" w:rsidR="00432166" w:rsidRPr="00432166" w:rsidRDefault="00432166" w:rsidP="00432166">
      <w:pPr>
        <w:numPr>
          <w:ilvl w:val="0"/>
          <w:numId w:val="4"/>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32166">
        <w:rPr>
          <w:rFonts w:ascii="Times New Roman" w:eastAsia="Times New Roman" w:hAnsi="Times New Roman" w:cs="Times New Roman"/>
          <w:b/>
          <w:bCs/>
          <w:color w:val="000000"/>
          <w:kern w:val="0"/>
          <w:szCs w:val="24"/>
          <w14:ligatures w14:val="none"/>
        </w:rPr>
        <w:t>Mean Absolute Percentage Error (MAPE):</w:t>
      </w:r>
      <w:r w:rsidRPr="00432166">
        <w:rPr>
          <w:rFonts w:ascii="Times New Roman" w:eastAsia="Times New Roman" w:hAnsi="Times New Roman" w:cs="Times New Roman"/>
          <w:color w:val="000000"/>
          <w:kern w:val="0"/>
          <w:szCs w:val="24"/>
          <w14:ligatures w14:val="none"/>
        </w:rPr>
        <w:t> Expresses error as a percentage, making it easier to interpret and compare across different scales</w:t>
      </w:r>
    </w:p>
    <w:p w14:paraId="73790639" w14:textId="77777777" w:rsidR="00432166" w:rsidRPr="00432166" w:rsidRDefault="00432166" w:rsidP="00432166">
      <w:p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r w:rsidRPr="00432166">
        <w:rPr>
          <w:rFonts w:ascii="Times New Roman" w:eastAsia="Times New Roman" w:hAnsi="Times New Roman" w:cs="Times New Roman"/>
          <w:b/>
          <w:bCs/>
          <w:color w:val="000000"/>
          <w:kern w:val="0"/>
          <w:szCs w:val="24"/>
          <w14:ligatures w14:val="none"/>
        </w:rPr>
        <w:t>2.3 Assumptions and Limitations</w:t>
      </w:r>
    </w:p>
    <w:p w14:paraId="04F0A4C2" w14:textId="77777777" w:rsidR="00432166" w:rsidRPr="00432166" w:rsidRDefault="00432166" w:rsidP="00432166">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32166">
        <w:rPr>
          <w:rFonts w:ascii="Times New Roman" w:eastAsia="Times New Roman" w:hAnsi="Times New Roman" w:cs="Times New Roman"/>
          <w:color w:val="000000"/>
          <w:kern w:val="0"/>
          <w:szCs w:val="24"/>
          <w14:ligatures w14:val="none"/>
        </w:rPr>
        <w:t>This capstone operates under several important assumptions. First, I assume that historical patterns in renewable energy adoption will continue to influence future trends, though growth rates may change. Second, the EIA data is assumed to be accurate and measured consistently across the entire 51-year period. Third, the models assume that the relationships captured during the training period (1973-2019) remain relevant for the forecast horizon (2025-2029).</w:t>
      </w:r>
    </w:p>
    <w:p w14:paraId="1EED571B" w14:textId="77777777" w:rsidR="00432166" w:rsidRPr="00432166" w:rsidRDefault="00432166" w:rsidP="00432166">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32166">
        <w:rPr>
          <w:rFonts w:ascii="Times New Roman" w:eastAsia="Times New Roman" w:hAnsi="Times New Roman" w:cs="Times New Roman"/>
          <w:color w:val="000000"/>
          <w:kern w:val="0"/>
          <w:szCs w:val="24"/>
          <w14:ligatures w14:val="none"/>
        </w:rPr>
        <w:t>Several limitations should be acknowledged. The models don't incorporate external factors like policy changes, technological breakthroughs, or economic conditions—they only learn from historical consumption patterns. Major policy shifts, such as dramatic changes in renewable energy subsidies, or technological disruptions, like a breakthrough in energy storage, could cause actual values to diverge significantly from the forecasts. The 5-year forecast horizon represents a practical limit for reliable prediction; confidence intervals would widen substantially beyond this timeframe. Additionally, by aggregating all renewable sources into total consumption, the models may mask divergent trends happening in individual technologies like solar versus hydroelectric.</w:t>
      </w:r>
    </w:p>
    <w:p w14:paraId="12337C3B" w14:textId="038272D8" w:rsidR="00432166" w:rsidRPr="00C14A68" w:rsidRDefault="00432166" w:rsidP="00432166">
      <w:pPr>
        <w:spacing w:after="0" w:line="240" w:lineRule="auto"/>
        <w:rPr>
          <w:rFonts w:ascii="Times New Roman" w:eastAsia="Times New Roman" w:hAnsi="Times New Roman" w:cs="Times New Roman"/>
          <w:kern w:val="0"/>
          <w:szCs w:val="24"/>
          <w14:ligatures w14:val="none"/>
        </w:rPr>
      </w:pPr>
    </w:p>
    <w:p w14:paraId="46AEFB7A" w14:textId="77777777" w:rsidR="007919FD" w:rsidRPr="00C14A68" w:rsidRDefault="007919FD" w:rsidP="00432166">
      <w:pPr>
        <w:spacing w:after="0" w:line="240" w:lineRule="auto"/>
        <w:rPr>
          <w:rFonts w:ascii="Times New Roman" w:eastAsia="Times New Roman" w:hAnsi="Times New Roman" w:cs="Times New Roman"/>
          <w:kern w:val="0"/>
          <w:szCs w:val="24"/>
          <w14:ligatures w14:val="none"/>
        </w:rPr>
      </w:pPr>
    </w:p>
    <w:p w14:paraId="3CB3D882" w14:textId="77777777" w:rsidR="007919FD" w:rsidRPr="00C14A68" w:rsidRDefault="007919FD" w:rsidP="00432166">
      <w:pPr>
        <w:spacing w:after="0" w:line="240" w:lineRule="auto"/>
        <w:rPr>
          <w:rFonts w:ascii="Times New Roman" w:eastAsia="Times New Roman" w:hAnsi="Times New Roman" w:cs="Times New Roman"/>
          <w:kern w:val="0"/>
          <w:szCs w:val="24"/>
          <w14:ligatures w14:val="none"/>
        </w:rPr>
      </w:pPr>
    </w:p>
    <w:p w14:paraId="5BE4C227" w14:textId="77777777" w:rsidR="007919FD" w:rsidRPr="00C14A68" w:rsidRDefault="007919FD" w:rsidP="00432166">
      <w:pPr>
        <w:spacing w:after="0" w:line="240" w:lineRule="auto"/>
        <w:rPr>
          <w:rFonts w:ascii="Times New Roman" w:eastAsia="Times New Roman" w:hAnsi="Times New Roman" w:cs="Times New Roman"/>
          <w:kern w:val="0"/>
          <w:szCs w:val="24"/>
          <w14:ligatures w14:val="none"/>
        </w:rPr>
      </w:pPr>
    </w:p>
    <w:p w14:paraId="5C31999B" w14:textId="77777777" w:rsidR="00432166" w:rsidRPr="00432166" w:rsidRDefault="00432166" w:rsidP="00432166">
      <w:pPr>
        <w:spacing w:before="100" w:beforeAutospacing="1" w:after="100" w:afterAutospacing="1" w:line="240" w:lineRule="auto"/>
        <w:outlineLvl w:val="1"/>
        <w:rPr>
          <w:rFonts w:ascii="Times New Roman" w:eastAsia="Times New Roman" w:hAnsi="Times New Roman" w:cs="Times New Roman"/>
          <w:b/>
          <w:bCs/>
          <w:color w:val="000000"/>
          <w:kern w:val="0"/>
          <w:szCs w:val="24"/>
          <w14:ligatures w14:val="none"/>
        </w:rPr>
      </w:pPr>
      <w:r w:rsidRPr="00432166">
        <w:rPr>
          <w:rFonts w:ascii="Times New Roman" w:eastAsia="Times New Roman" w:hAnsi="Times New Roman" w:cs="Times New Roman"/>
          <w:b/>
          <w:bCs/>
          <w:color w:val="000000"/>
          <w:kern w:val="0"/>
          <w:szCs w:val="24"/>
          <w14:ligatures w14:val="none"/>
        </w:rPr>
        <w:lastRenderedPageBreak/>
        <w:t>3. ANALYSIS</w:t>
      </w:r>
    </w:p>
    <w:p w14:paraId="75DEB5A8" w14:textId="77777777" w:rsidR="00432166" w:rsidRPr="00432166" w:rsidRDefault="00432166" w:rsidP="00432166">
      <w:p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r w:rsidRPr="00432166">
        <w:rPr>
          <w:rFonts w:ascii="Times New Roman" w:eastAsia="Times New Roman" w:hAnsi="Times New Roman" w:cs="Times New Roman"/>
          <w:b/>
          <w:bCs/>
          <w:color w:val="000000"/>
          <w:kern w:val="0"/>
          <w:szCs w:val="24"/>
          <w14:ligatures w14:val="none"/>
        </w:rPr>
        <w:t>3.1 Model Performance Comparison</w:t>
      </w:r>
    </w:p>
    <w:p w14:paraId="7BEBF2E0" w14:textId="77777777" w:rsidR="00432166" w:rsidRPr="00432166" w:rsidRDefault="00432166" w:rsidP="00432166">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32166">
        <w:rPr>
          <w:rFonts w:ascii="Times New Roman" w:eastAsia="Times New Roman" w:hAnsi="Times New Roman" w:cs="Times New Roman"/>
          <w:color w:val="000000"/>
          <w:kern w:val="0"/>
          <w:szCs w:val="24"/>
          <w14:ligatures w14:val="none"/>
        </w:rPr>
        <w:t>The comparative analysis revealed substantial differences in how the six models performed. Linear Regression emerged as the clear winner, achieving an R² of 0.8135—meaning it explained 81.3% of the variance in renewable energy consumption. This model also posted an RMSE of 13.36 trillion BTUs and a remarkably low MAPE of 2.06%, indicating that predictions were typically within 2% of actual values. For long-term forecasting, this represents excellent performance.</w:t>
      </w:r>
    </w:p>
    <w:p w14:paraId="25D17D87" w14:textId="77777777" w:rsidR="00432166" w:rsidRPr="00432166" w:rsidRDefault="00432166" w:rsidP="00432166">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32166">
        <w:rPr>
          <w:rFonts w:ascii="Times New Roman" w:eastAsia="Times New Roman" w:hAnsi="Times New Roman" w:cs="Times New Roman"/>
          <w:color w:val="000000"/>
          <w:kern w:val="0"/>
          <w:szCs w:val="24"/>
          <w14:ligatures w14:val="none"/>
        </w:rPr>
        <w:t xml:space="preserve">ARIMA came in second with R² = 0.5795 and MAPE = 3.13%, showing respectable results from a pure time series approach. The Neural Network achieved moderate success (R² = 0.4555, MAPE = 3.52%), followed by Random Forest (R² = 0.3203, MAPE = 3.71%) and Gradient Boosting (R² = 0.1783, MAPE = 3.97%). Support Vector Regression performed poorly with a negative R² = -0.0165 and the highest MAPE of 5.10%, meaning its predictions were </w:t>
      </w:r>
      <w:proofErr w:type="gramStart"/>
      <w:r w:rsidRPr="00432166">
        <w:rPr>
          <w:rFonts w:ascii="Times New Roman" w:eastAsia="Times New Roman" w:hAnsi="Times New Roman" w:cs="Times New Roman"/>
          <w:color w:val="000000"/>
          <w:kern w:val="0"/>
          <w:szCs w:val="24"/>
          <w14:ligatures w14:val="none"/>
        </w:rPr>
        <w:t>actually worse</w:t>
      </w:r>
      <w:proofErr w:type="gramEnd"/>
      <w:r w:rsidRPr="00432166">
        <w:rPr>
          <w:rFonts w:ascii="Times New Roman" w:eastAsia="Times New Roman" w:hAnsi="Times New Roman" w:cs="Times New Roman"/>
          <w:color w:val="000000"/>
          <w:kern w:val="0"/>
          <w:szCs w:val="24"/>
          <w14:ligatures w14:val="none"/>
        </w:rPr>
        <w:t xml:space="preserve"> than simply using the average.</w:t>
      </w:r>
    </w:p>
    <w:p w14:paraId="142B7A02" w14:textId="77777777" w:rsidR="007919FD" w:rsidRPr="00C14A68" w:rsidRDefault="00432166" w:rsidP="007919FD">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32166">
        <w:rPr>
          <w:rFonts w:ascii="Times New Roman" w:eastAsia="Times New Roman" w:hAnsi="Times New Roman" w:cs="Times New Roman"/>
          <w:color w:val="000000"/>
          <w:kern w:val="0"/>
          <w:szCs w:val="24"/>
          <w14:ligatures w14:val="none"/>
        </w:rPr>
        <w:t xml:space="preserve">The fact that Linear Regression outperformed the sophisticated non-linear models might seem surprising at first. However, several factors explain this outcome. First, the engineered features—particularly the rolling means and lag variables—already captured much of the non-linear complexity in the data. This preprocessing essentially did the heavy lifting, allowing the linear model to work with relationships that had already been transformed. Second, while renewable energy adoption has accelerated at certain periods, the long-term trend follows a relatively stable trajectory that linear methods handle well. Third, simpler models often generalize better to new data because they're less likely to overfit to noise in the training set. This principle, which I learned in the MSBA program, was clearly validated by these </w:t>
      </w:r>
      <w:proofErr w:type="spellStart"/>
      <w:proofErr w:type="gramStart"/>
      <w:r w:rsidRPr="00432166">
        <w:rPr>
          <w:rFonts w:ascii="Times New Roman" w:eastAsia="Times New Roman" w:hAnsi="Times New Roman" w:cs="Times New Roman"/>
          <w:color w:val="000000"/>
          <w:kern w:val="0"/>
          <w:szCs w:val="24"/>
          <w14:ligatures w14:val="none"/>
        </w:rPr>
        <w:t>results.The</w:t>
      </w:r>
      <w:proofErr w:type="spellEnd"/>
      <w:proofErr w:type="gramEnd"/>
      <w:r w:rsidRPr="00432166">
        <w:rPr>
          <w:rFonts w:ascii="Times New Roman" w:eastAsia="Times New Roman" w:hAnsi="Times New Roman" w:cs="Times New Roman"/>
          <w:color w:val="000000"/>
          <w:kern w:val="0"/>
          <w:szCs w:val="24"/>
          <w14:ligatures w14:val="none"/>
        </w:rPr>
        <w:t xml:space="preserve"> 81.35% accuracy demonstrates strong predictive capability and meets the standards expected for </w:t>
      </w:r>
      <w:r w:rsidR="007919FD" w:rsidRPr="00C14A68">
        <w:rPr>
          <w:rFonts w:ascii="Times New Roman" w:eastAsia="Times New Roman" w:hAnsi="Times New Roman" w:cs="Times New Roman"/>
          <w:color w:val="000000"/>
          <w:kern w:val="0"/>
          <w:szCs w:val="24"/>
          <w14:ligatures w14:val="none"/>
        </w:rPr>
        <w:t>forecasting projects</w:t>
      </w:r>
      <w:r w:rsidRPr="00C14A68">
        <w:rPr>
          <w:rFonts w:ascii="Times New Roman" w:eastAsia="Times New Roman" w:hAnsi="Times New Roman" w:cs="Times New Roman"/>
          <w:color w:val="000000"/>
          <w:kern w:val="0"/>
          <w:szCs w:val="24"/>
          <w14:ligatures w14:val="none"/>
        </w:rPr>
        <w:t>.</w:t>
      </w:r>
    </w:p>
    <w:p w14:paraId="23A908CD" w14:textId="62F46A07" w:rsidR="007919FD" w:rsidRPr="00C14A68" w:rsidRDefault="00432166" w:rsidP="007919FD">
      <w:pPr>
        <w:spacing w:before="100" w:beforeAutospacing="1" w:after="100" w:afterAutospacing="1" w:line="240" w:lineRule="auto"/>
        <w:jc w:val="center"/>
        <w:rPr>
          <w:i/>
          <w:iCs/>
          <w:color w:val="0000FF"/>
          <w:szCs w:val="24"/>
        </w:rPr>
      </w:pPr>
      <w:r w:rsidRPr="00C14A68">
        <w:rPr>
          <w:rFonts w:ascii="Times New Roman" w:eastAsia="Times New Roman" w:hAnsi="Times New Roman" w:cs="Times New Roman"/>
          <w:noProof/>
          <w:color w:val="000000"/>
          <w:kern w:val="0"/>
          <w:szCs w:val="24"/>
        </w:rPr>
        <w:lastRenderedPageBreak/>
        <w:drawing>
          <wp:inline distT="0" distB="0" distL="0" distR="0" wp14:anchorId="25A047EE" wp14:editId="16AD54F2">
            <wp:extent cx="4800600" cy="3021403"/>
            <wp:effectExtent l="0" t="0" r="0" b="1270"/>
            <wp:docPr id="1580625243" name="Picture 17" descr="A group of bar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25243" name="Picture 17" descr="A group of bar graph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58387" cy="3057773"/>
                    </a:xfrm>
                    <a:prstGeom prst="rect">
                      <a:avLst/>
                    </a:prstGeom>
                  </pic:spPr>
                </pic:pic>
              </a:graphicData>
            </a:graphic>
          </wp:inline>
        </w:drawing>
      </w:r>
    </w:p>
    <w:p w14:paraId="36319A44" w14:textId="132C403C" w:rsidR="00432166" w:rsidRPr="00C14A68" w:rsidRDefault="00432166" w:rsidP="007919FD">
      <w:pPr>
        <w:spacing w:before="100" w:beforeAutospacing="1" w:after="100" w:afterAutospacing="1" w:line="240" w:lineRule="auto"/>
        <w:jc w:val="center"/>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4A68">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Figure11: </w:t>
      </w:r>
      <w:r w:rsidRPr="00C14A68">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 Performance Comparison - 4 panels (R², RMSE, MAE, MAPE</w:t>
      </w:r>
      <w:r w:rsidRPr="00C14A68">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2787BA4" w14:textId="77777777" w:rsidR="007919FD" w:rsidRPr="00C14A68" w:rsidRDefault="007919FD" w:rsidP="007919FD">
      <w:pPr>
        <w:spacing w:before="100" w:beforeAutospacing="1" w:after="100" w:afterAutospacing="1" w:line="240" w:lineRule="auto"/>
        <w:jc w:val="center"/>
        <w:rPr>
          <w:rFonts w:ascii="Times New Roman" w:eastAsia="Times New Roman" w:hAnsi="Times New Roman" w:cs="Times New Roman"/>
          <w:color w:val="000000"/>
          <w:kern w:val="0"/>
          <w:szCs w:val="24"/>
          <w14:ligatures w14:val="none"/>
        </w:rPr>
      </w:pPr>
    </w:p>
    <w:p w14:paraId="58E1B460" w14:textId="561E0223" w:rsidR="00432166" w:rsidRPr="00C14A68" w:rsidRDefault="00432166" w:rsidP="00432166">
      <w:pPr>
        <w:tabs>
          <w:tab w:val="center" w:pos="1045"/>
        </w:tabs>
        <w:spacing w:after="240" w:line="480" w:lineRule="auto"/>
        <w:jc w:val="center"/>
        <w:rPr>
          <w:szCs w:val="24"/>
        </w:rPr>
      </w:pPr>
      <w:r w:rsidRPr="00C14A68">
        <w:rPr>
          <w:noProof/>
          <w:szCs w:val="24"/>
        </w:rPr>
        <w:lastRenderedPageBreak/>
        <w:drawing>
          <wp:anchor distT="0" distB="0" distL="114300" distR="114300" simplePos="0" relativeHeight="251658240" behindDoc="0" locked="0" layoutInCell="1" allowOverlap="1" wp14:anchorId="4937F370" wp14:editId="5CCE66C7">
            <wp:simplePos x="0" y="0"/>
            <wp:positionH relativeFrom="column">
              <wp:posOffset>544635</wp:posOffset>
            </wp:positionH>
            <wp:positionV relativeFrom="paragraph">
              <wp:posOffset>105507</wp:posOffset>
            </wp:positionV>
            <wp:extent cx="4888523" cy="4303049"/>
            <wp:effectExtent l="0" t="0" r="0" b="5080"/>
            <wp:wrapSquare wrapText="bothSides"/>
            <wp:docPr id="525690062" name="Picture 18"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90062" name="Picture 18" descr="A graph of different colored lin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88523" cy="4303049"/>
                    </a:xfrm>
                    <a:prstGeom prst="rect">
                      <a:avLst/>
                    </a:prstGeom>
                  </pic:spPr>
                </pic:pic>
              </a:graphicData>
            </a:graphic>
            <wp14:sizeRelH relativeFrom="margin">
              <wp14:pctWidth>0</wp14:pctWidth>
            </wp14:sizeRelH>
            <wp14:sizeRelV relativeFrom="margin">
              <wp14:pctHeight>0</wp14:pctHeight>
            </wp14:sizeRelV>
          </wp:anchor>
        </w:drawing>
      </w:r>
      <w:r w:rsidRPr="00C14A68">
        <w:rPr>
          <w:szCs w:val="24"/>
        </w:rPr>
        <w:br w:type="textWrapping" w:clear="all"/>
      </w:r>
    </w:p>
    <w:p w14:paraId="47A3E13B" w14:textId="1B1C03D0" w:rsidR="00432166" w:rsidRPr="00C14A68" w:rsidRDefault="00432166" w:rsidP="00432166">
      <w:pPr>
        <w:spacing w:after="240" w:line="480" w:lineRule="auto"/>
        <w:jc w:val="center"/>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4A68">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12: All 6 Model Predictions vs Actual (2020-2024)</w:t>
      </w:r>
    </w:p>
    <w:p w14:paraId="7A20791A" w14:textId="27F7F4E7" w:rsidR="00432166" w:rsidRPr="00432166" w:rsidRDefault="00432166" w:rsidP="00432166">
      <w:pPr>
        <w:spacing w:before="100" w:beforeAutospacing="1" w:after="100" w:afterAutospacing="1" w:line="240" w:lineRule="auto"/>
        <w:rPr>
          <w:rFonts w:ascii="Times New Roman" w:eastAsia="Times New Roman" w:hAnsi="Times New Roman" w:cs="Times New Roman"/>
          <w:color w:val="000000"/>
          <w:kern w:val="0"/>
          <w:szCs w:val="24"/>
          <w14:ligatures w14:val="none"/>
        </w:rPr>
      </w:pPr>
    </w:p>
    <w:p w14:paraId="56870DCF" w14:textId="77777777" w:rsidR="00432166" w:rsidRPr="00C14A68" w:rsidRDefault="00432166" w:rsidP="00432166">
      <w:pPr>
        <w:spacing w:after="240" w:line="480" w:lineRule="auto"/>
        <w:jc w:val="center"/>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CFE386" w14:textId="77777777" w:rsidR="00432166" w:rsidRPr="00C14A68" w:rsidRDefault="00432166" w:rsidP="001017F8">
      <w:pPr>
        <w:spacing w:before="100" w:beforeAutospacing="1" w:after="100" w:afterAutospacing="1" w:line="240" w:lineRule="auto"/>
        <w:rPr>
          <w:rFonts w:ascii="Times New Roman" w:eastAsia="Times New Roman" w:hAnsi="Times New Roman" w:cs="Times New Roman"/>
          <w:color w:val="000000"/>
          <w:kern w:val="0"/>
          <w:szCs w:val="24"/>
          <w14:ligatures w14:val="none"/>
        </w:rPr>
      </w:pPr>
    </w:p>
    <w:p w14:paraId="72F0B459" w14:textId="77777777" w:rsidR="00432166" w:rsidRPr="001017F8" w:rsidRDefault="00432166" w:rsidP="001017F8">
      <w:pPr>
        <w:spacing w:before="100" w:beforeAutospacing="1" w:after="100" w:afterAutospacing="1" w:line="240" w:lineRule="auto"/>
        <w:rPr>
          <w:rFonts w:ascii="Times New Roman" w:eastAsia="Times New Roman" w:hAnsi="Times New Roman" w:cs="Times New Roman"/>
          <w:color w:val="000000"/>
          <w:kern w:val="0"/>
          <w:szCs w:val="24"/>
          <w14:ligatures w14:val="none"/>
        </w:rPr>
      </w:pPr>
    </w:p>
    <w:p w14:paraId="7FF45FCD" w14:textId="77777777" w:rsidR="001017F8" w:rsidRPr="00C14A68" w:rsidRDefault="001017F8" w:rsidP="001017F8">
      <w:pPr>
        <w:spacing w:after="240" w:line="480" w:lineRule="auto"/>
        <w:jc w:val="center"/>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3979E4" w14:textId="3C5CAFC7" w:rsidR="001017F8" w:rsidRPr="00C14A68" w:rsidRDefault="001017F8" w:rsidP="001017F8">
      <w:pPr>
        <w:spacing w:after="240" w:line="480" w:lineRule="auto"/>
        <w:jc w:val="center"/>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8B3CCF" w14:textId="77777777" w:rsidR="00090FCE" w:rsidRPr="00090FCE" w:rsidRDefault="00090FCE" w:rsidP="00090FCE">
      <w:p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r w:rsidRPr="00090FCE">
        <w:rPr>
          <w:rFonts w:ascii="Times New Roman" w:eastAsia="Times New Roman" w:hAnsi="Times New Roman" w:cs="Times New Roman"/>
          <w:b/>
          <w:bCs/>
          <w:color w:val="000000"/>
          <w:kern w:val="0"/>
          <w:szCs w:val="24"/>
          <w14:ligatures w14:val="none"/>
        </w:rPr>
        <w:lastRenderedPageBreak/>
        <w:t>3.2 Residual Analysis</w:t>
      </w:r>
    </w:p>
    <w:p w14:paraId="22A892D7" w14:textId="77777777" w:rsidR="00090FCE" w:rsidRPr="00090FCE" w:rsidRDefault="00090FCE" w:rsidP="00090FCE">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090FCE">
        <w:rPr>
          <w:rFonts w:ascii="Times New Roman" w:eastAsia="Times New Roman" w:hAnsi="Times New Roman" w:cs="Times New Roman"/>
          <w:color w:val="000000"/>
          <w:kern w:val="0"/>
          <w:szCs w:val="24"/>
          <w14:ligatures w14:val="none"/>
        </w:rPr>
        <w:t>I performed residual analysis on the Linear Regression model to verify that it met key statistical assumptions. The residuals—the differences between predicted and actual values—showed a mean very close to zero (-0.22 trillion BTUs), indicating the model produces unbiased predictions without systematically over- or under-predicting.</w:t>
      </w:r>
    </w:p>
    <w:p w14:paraId="3815FA14" w14:textId="77777777" w:rsidR="00090FCE" w:rsidRPr="00090FCE" w:rsidRDefault="00090FCE" w:rsidP="00090FCE">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090FCE">
        <w:rPr>
          <w:rFonts w:ascii="Times New Roman" w:eastAsia="Times New Roman" w:hAnsi="Times New Roman" w:cs="Times New Roman"/>
          <w:color w:val="000000"/>
          <w:kern w:val="0"/>
          <w:szCs w:val="24"/>
          <w14:ligatures w14:val="none"/>
        </w:rPr>
        <w:t>The Q-Q (quantile-quantile) plot showed that residuals followed the theoretical normal distribution quite well, with only slight deviations in the extreme tails. This approximate normality is adequate for making statistical inferences from the model. Perfect normality isn't necessary for the model to be useful, and the pattern I observed falls well within acceptable bounds.</w:t>
      </w:r>
    </w:p>
    <w:p w14:paraId="3E279F0B" w14:textId="77777777" w:rsidR="00090FCE" w:rsidRPr="00090FCE" w:rsidRDefault="00090FCE" w:rsidP="00090FCE">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090FCE">
        <w:rPr>
          <w:rFonts w:ascii="Times New Roman" w:eastAsia="Times New Roman" w:hAnsi="Times New Roman" w:cs="Times New Roman"/>
          <w:color w:val="000000"/>
          <w:kern w:val="0"/>
          <w:szCs w:val="24"/>
          <w14:ligatures w14:val="none"/>
        </w:rPr>
        <w:t>When I plotted residuals over time, I found no systematic patterns—no upward or downward trends, no increasing or decreasing spread. This confirms two important properties: homoscedasticity (constant variance) and absence of autocorrelation in the errors. If residuals showed patterns over time, it would suggest the model was missing some temporal structure in the data.</w:t>
      </w:r>
    </w:p>
    <w:p w14:paraId="110D314E" w14:textId="77777777" w:rsidR="00090FCE" w:rsidRPr="00090FCE" w:rsidRDefault="00090FCE" w:rsidP="00090FCE">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090FCE">
        <w:rPr>
          <w:rFonts w:ascii="Times New Roman" w:eastAsia="Times New Roman" w:hAnsi="Times New Roman" w:cs="Times New Roman"/>
          <w:color w:val="000000"/>
          <w:kern w:val="0"/>
          <w:szCs w:val="24"/>
          <w14:ligatures w14:val="none"/>
        </w:rPr>
        <w:t>The predicted versus actual scatter plot provided another validation check. The points clustered tightly around the 45-degree line, which represents perfect predictions. Most points fell within ±20 trillion BTUs of actual values, demonstrating strong predictive accuracy. Only a few outliers strayed further from the line, which is normal in any real-world forecasting application.</w:t>
      </w:r>
    </w:p>
    <w:p w14:paraId="4993DAA4" w14:textId="77777777" w:rsidR="00090FCE" w:rsidRPr="00C14A68" w:rsidRDefault="00090FCE" w:rsidP="00090FCE">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090FCE">
        <w:rPr>
          <w:rFonts w:ascii="Times New Roman" w:eastAsia="Times New Roman" w:hAnsi="Times New Roman" w:cs="Times New Roman"/>
          <w:color w:val="000000"/>
          <w:kern w:val="0"/>
          <w:szCs w:val="24"/>
          <w14:ligatures w14:val="none"/>
        </w:rPr>
        <w:t>These diagnostic checks collectively support the model's reliability for forecasting renewable energy consumption. The residuals behave as they should—random, unbiased, and normally distributed—giving me confidence that the model's strong performance on the test set isn't due to violations of underlying statistical assumptions.</w:t>
      </w:r>
    </w:p>
    <w:p w14:paraId="57324842" w14:textId="521177AF" w:rsidR="00090FCE" w:rsidRPr="00C14A68" w:rsidRDefault="00090FCE" w:rsidP="00090FCE">
      <w:pPr>
        <w:spacing w:before="100" w:beforeAutospacing="1" w:after="100" w:afterAutospacing="1" w:line="240" w:lineRule="auto"/>
        <w:jc w:val="center"/>
        <w:rPr>
          <w:i/>
          <w:iCs/>
          <w:color w:val="0000FF"/>
          <w:szCs w:val="24"/>
        </w:rPr>
      </w:pPr>
      <w:r w:rsidRPr="00C14A68">
        <w:rPr>
          <w:rFonts w:ascii="Times New Roman" w:eastAsia="Times New Roman" w:hAnsi="Times New Roman" w:cs="Times New Roman"/>
          <w:noProof/>
          <w:color w:val="000000"/>
          <w:kern w:val="0"/>
          <w:szCs w:val="24"/>
        </w:rPr>
        <w:lastRenderedPageBreak/>
        <w:drawing>
          <wp:inline distT="0" distB="0" distL="0" distR="0" wp14:anchorId="5D964B9F" wp14:editId="467CE1D2">
            <wp:extent cx="5099538" cy="3212273"/>
            <wp:effectExtent l="0" t="0" r="0" b="1270"/>
            <wp:docPr id="391071253" name="Picture 19"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71253" name="Picture 19" descr="A collage of graph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12826" cy="3220643"/>
                    </a:xfrm>
                    <a:prstGeom prst="rect">
                      <a:avLst/>
                    </a:prstGeom>
                  </pic:spPr>
                </pic:pic>
              </a:graphicData>
            </a:graphic>
          </wp:inline>
        </w:drawing>
      </w:r>
      <w:r w:rsidRPr="00C14A68">
        <w:rPr>
          <w:i/>
          <w:iCs/>
          <w:color w:val="0000FF"/>
          <w:szCs w:val="24"/>
        </w:rPr>
        <w:t xml:space="preserve">         </w:t>
      </w:r>
      <w:r w:rsidR="008D11D2" w:rsidRPr="00C14A68">
        <w:rPr>
          <w:i/>
          <w:iCs/>
          <w:color w:val="0000FF"/>
          <w:szCs w:val="24"/>
        </w:rPr>
        <w:t>F</w:t>
      </w:r>
    </w:p>
    <w:p w14:paraId="42293BAD" w14:textId="3F0AECEF" w:rsidR="00090FCE" w:rsidRPr="00C14A68" w:rsidRDefault="00090FCE" w:rsidP="00090FCE">
      <w:pPr>
        <w:spacing w:before="100" w:beforeAutospacing="1" w:after="100" w:afterAutospacing="1" w:line="240" w:lineRule="auto"/>
        <w:jc w:val="center"/>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4A68">
        <w:rPr>
          <w:i/>
          <w:iCs/>
          <w:color w:val="0000FF"/>
          <w:szCs w:val="24"/>
        </w:rPr>
        <w:t xml:space="preserve"> </w:t>
      </w:r>
      <w:r w:rsidRPr="00C14A68">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13: Residual Analysis - 4 panels (Residuals over Time, Distribution, Q-Q Plot, Predicted vs Actual</w:t>
      </w:r>
      <w:r w:rsidRPr="00C14A68">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F11B23F" w14:textId="77777777" w:rsidR="00090FCE" w:rsidRPr="00C14A68" w:rsidRDefault="00090FCE" w:rsidP="00090FCE">
      <w:pPr>
        <w:spacing w:before="100" w:beforeAutospacing="1" w:after="100" w:afterAutospacing="1" w:line="240" w:lineRule="auto"/>
        <w:jc w:val="center"/>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3142E5" w14:textId="77777777" w:rsidR="00090FCE" w:rsidRPr="00090FCE" w:rsidRDefault="00090FCE" w:rsidP="00090FCE">
      <w:p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r w:rsidRPr="00090FCE">
        <w:rPr>
          <w:rFonts w:ascii="Times New Roman" w:eastAsia="Times New Roman" w:hAnsi="Times New Roman" w:cs="Times New Roman"/>
          <w:b/>
          <w:bCs/>
          <w:color w:val="000000"/>
          <w:kern w:val="0"/>
          <w:szCs w:val="24"/>
          <w14:ligatures w14:val="none"/>
        </w:rPr>
        <w:t>3.3 Five-Year Forecast Results</w:t>
      </w:r>
    </w:p>
    <w:p w14:paraId="18E022B6" w14:textId="55FA13A0" w:rsidR="00090FCE" w:rsidRPr="00090FCE" w:rsidRDefault="00090FCE" w:rsidP="00090FCE">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090FCE">
        <w:rPr>
          <w:rFonts w:ascii="Times New Roman" w:eastAsia="Times New Roman" w:hAnsi="Times New Roman" w:cs="Times New Roman"/>
          <w:color w:val="000000"/>
          <w:kern w:val="0"/>
          <w:szCs w:val="24"/>
          <w14:ligatures w14:val="none"/>
        </w:rPr>
        <w:t xml:space="preserve">The ensemble forecast, which combines predictions from all six models, projects that U.S. renewable energy consumption will grow from </w:t>
      </w:r>
      <w:proofErr w:type="gramStart"/>
      <w:r w:rsidR="00326AA4" w:rsidRPr="00C14A68">
        <w:rPr>
          <w:rStyle w:val="Strong"/>
          <w:b w:val="0"/>
          <w:bCs w:val="0"/>
          <w:color w:val="000000"/>
          <w:szCs w:val="24"/>
        </w:rPr>
        <w:t>521.76</w:t>
      </w:r>
      <w:r w:rsidR="00326AA4" w:rsidRPr="00C14A68">
        <w:rPr>
          <w:rStyle w:val="apple-converted-space"/>
          <w:b/>
          <w:bCs/>
          <w:color w:val="000000"/>
          <w:szCs w:val="24"/>
        </w:rPr>
        <w:t> </w:t>
      </w:r>
      <w:r w:rsidRPr="00090FCE">
        <w:rPr>
          <w:rFonts w:ascii="Times New Roman" w:eastAsia="Times New Roman" w:hAnsi="Times New Roman" w:cs="Times New Roman"/>
          <w:color w:val="000000"/>
          <w:kern w:val="0"/>
          <w:szCs w:val="24"/>
          <w14:ligatures w14:val="none"/>
        </w:rPr>
        <w:t xml:space="preserve"> trillion</w:t>
      </w:r>
      <w:proofErr w:type="gramEnd"/>
      <w:r w:rsidRPr="00090FCE">
        <w:rPr>
          <w:rFonts w:ascii="Times New Roman" w:eastAsia="Times New Roman" w:hAnsi="Times New Roman" w:cs="Times New Roman"/>
          <w:color w:val="000000"/>
          <w:kern w:val="0"/>
          <w:szCs w:val="24"/>
          <w14:ligatures w14:val="none"/>
        </w:rPr>
        <w:t xml:space="preserve"> BTUs in 2024 to 533.38 trillion BTUs by 2029. This represents total growth of just 2.23%, or roughly 0.45% annually. This modest growth rate is noticeably slower than the historical average of 1.97% per year, suggesting the renewable energy market is maturing and expansion rates are moderating.</w:t>
      </w:r>
    </w:p>
    <w:p w14:paraId="69A05996" w14:textId="77777777" w:rsidR="00090FCE" w:rsidRPr="00090FCE" w:rsidRDefault="00090FCE" w:rsidP="00090FCE">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090FCE">
        <w:rPr>
          <w:rFonts w:ascii="Times New Roman" w:eastAsia="Times New Roman" w:hAnsi="Times New Roman" w:cs="Times New Roman"/>
          <w:color w:val="000000"/>
          <w:kern w:val="0"/>
          <w:szCs w:val="24"/>
          <w14:ligatures w14:val="none"/>
        </w:rPr>
        <w:t xml:space="preserve">Breaking down the forecast year by year shows steady but gradual progression: 2025 (526.68), 2026 (528.29), 2027 (530.06), 2028 (532.02), and 2029 (533.38) trillion BTUs. The 95% confidence intervals are </w:t>
      </w:r>
      <w:proofErr w:type="gramStart"/>
      <w:r w:rsidRPr="00090FCE">
        <w:rPr>
          <w:rFonts w:ascii="Times New Roman" w:eastAsia="Times New Roman" w:hAnsi="Times New Roman" w:cs="Times New Roman"/>
          <w:color w:val="000000"/>
          <w:kern w:val="0"/>
          <w:szCs w:val="24"/>
          <w14:ligatures w14:val="none"/>
        </w:rPr>
        <w:t>fairly wide</w:t>
      </w:r>
      <w:proofErr w:type="gramEnd"/>
      <w:r w:rsidRPr="00090FCE">
        <w:rPr>
          <w:rFonts w:ascii="Times New Roman" w:eastAsia="Times New Roman" w:hAnsi="Times New Roman" w:cs="Times New Roman"/>
          <w:color w:val="000000"/>
          <w:kern w:val="0"/>
          <w:szCs w:val="24"/>
          <w14:ligatures w14:val="none"/>
        </w:rPr>
        <w:t xml:space="preserve"> at approximately ±50 trillion BTUs, which reflects the inherent uncertainty in long-term forecasting. As expected, this uncertainty increases the further out we project.</w:t>
      </w:r>
    </w:p>
    <w:p w14:paraId="4799B58B" w14:textId="77777777" w:rsidR="00090FCE" w:rsidRPr="00090FCE" w:rsidRDefault="00090FCE" w:rsidP="00090FCE">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090FCE">
        <w:rPr>
          <w:rFonts w:ascii="Times New Roman" w:eastAsia="Times New Roman" w:hAnsi="Times New Roman" w:cs="Times New Roman"/>
          <w:color w:val="000000"/>
          <w:kern w:val="0"/>
          <w:szCs w:val="24"/>
          <w14:ligatures w14:val="none"/>
        </w:rPr>
        <w:t>Looking at individual model predictions reveals some interesting divergence. ARIMA projects the most aggressive growth, reaching 570.60 trillion BTUs by 2029, while the machine learning models are more conservative, clustering around 520-525 trillion BTUs. This spread illustrates why the ensemble approach is valuable—it balances optimistic and conservative perspectives rather than relying on any single model's projection.</w:t>
      </w:r>
    </w:p>
    <w:p w14:paraId="6ED67E78" w14:textId="77777777" w:rsidR="00090FCE" w:rsidRPr="00C14A68" w:rsidRDefault="00090FCE" w:rsidP="00090FCE">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090FCE">
        <w:rPr>
          <w:rFonts w:ascii="Times New Roman" w:eastAsia="Times New Roman" w:hAnsi="Times New Roman" w:cs="Times New Roman"/>
          <w:color w:val="000000"/>
          <w:kern w:val="0"/>
          <w:szCs w:val="24"/>
          <w14:ligatures w14:val="none"/>
        </w:rPr>
        <w:lastRenderedPageBreak/>
        <w:t>The slower projected growth aligns with several market realities I observed in the data. First, the renewable energy sector has matured considerably. The "low-hanging fruit" has already been picked—the easiest and most cost-effective projects are already built. Second, grid integration becomes more challenging as renewable penetration increases. Intermittent sources like solar and wind require costly infrastructure upgrades to maintain grid stability. Third, some renewable sources face hard physical limits. Hydroelectric, for example, has limited expansion potential because most suitable dam sites in the U.S. are already developed. Fourth, and importantly, this forecast assumes continuation of current policy environments. Major new incentives, regulatory mandates, or technological breakthroughs could accelerate growth well beyond these predictions.</w:t>
      </w:r>
    </w:p>
    <w:p w14:paraId="6DC7FA67" w14:textId="77777777" w:rsidR="00090FCE" w:rsidRPr="00C14A68" w:rsidRDefault="00090FCE" w:rsidP="00090FCE">
      <w:pPr>
        <w:spacing w:before="100" w:beforeAutospacing="1" w:after="100" w:afterAutospacing="1" w:line="240" w:lineRule="auto"/>
        <w:rPr>
          <w:rFonts w:ascii="Times New Roman" w:eastAsia="Times New Roman" w:hAnsi="Times New Roman" w:cs="Times New Roman"/>
          <w:color w:val="000000"/>
          <w:kern w:val="0"/>
          <w:szCs w:val="24"/>
          <w14:ligatures w14:val="none"/>
        </w:rPr>
      </w:pPr>
    </w:p>
    <w:p w14:paraId="059164A8" w14:textId="77777777" w:rsidR="00090FCE" w:rsidRPr="00C14A68" w:rsidRDefault="00090FCE" w:rsidP="00090FCE">
      <w:pPr>
        <w:spacing w:before="100" w:beforeAutospacing="1" w:after="100" w:afterAutospacing="1" w:line="240" w:lineRule="auto"/>
        <w:rPr>
          <w:rFonts w:ascii="Times New Roman" w:eastAsia="Times New Roman" w:hAnsi="Times New Roman" w:cs="Times New Roman"/>
          <w:color w:val="000000"/>
          <w:kern w:val="0"/>
          <w:szCs w:val="24"/>
          <w14:ligatures w14:val="none"/>
        </w:rPr>
      </w:pPr>
    </w:p>
    <w:p w14:paraId="66697010" w14:textId="088D5147" w:rsidR="00090FCE" w:rsidRPr="00C14A68" w:rsidRDefault="00090FCE" w:rsidP="00090FCE">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C14A68">
        <w:rPr>
          <w:rFonts w:ascii="Times New Roman" w:eastAsia="Times New Roman" w:hAnsi="Times New Roman" w:cs="Times New Roman"/>
          <w:noProof/>
          <w:color w:val="000000"/>
          <w:kern w:val="0"/>
          <w:szCs w:val="24"/>
        </w:rPr>
        <w:drawing>
          <wp:inline distT="0" distB="0" distL="0" distR="0" wp14:anchorId="3073BAFB" wp14:editId="15AA6F4F">
            <wp:extent cx="5943600" cy="2953385"/>
            <wp:effectExtent l="0" t="0" r="0" b="5715"/>
            <wp:docPr id="1361282533" name="Picture 21" descr="A graph showing the sam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82533" name="Picture 21" descr="A graph showing the same graph&#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953385"/>
                    </a:xfrm>
                    <a:prstGeom prst="rect">
                      <a:avLst/>
                    </a:prstGeom>
                  </pic:spPr>
                </pic:pic>
              </a:graphicData>
            </a:graphic>
          </wp:inline>
        </w:drawing>
      </w:r>
    </w:p>
    <w:p w14:paraId="7D0353F3" w14:textId="52A0234D" w:rsidR="00090FCE" w:rsidRPr="00C14A68" w:rsidRDefault="00090FCE" w:rsidP="00090FCE">
      <w:pPr>
        <w:spacing w:after="240" w:line="480" w:lineRule="auto"/>
        <w:jc w:val="center"/>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4A68">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15: 5-Year Forecast with 95% Confidence Intervals (2019-2029)</w:t>
      </w:r>
    </w:p>
    <w:p w14:paraId="70FA56E9" w14:textId="0CA4523F" w:rsidR="00090FCE" w:rsidRPr="00C14A68" w:rsidRDefault="00090FCE" w:rsidP="00090FCE">
      <w:pPr>
        <w:spacing w:after="240" w:line="480" w:lineRule="auto"/>
        <w:jc w:val="center"/>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4A68">
        <w:rPr>
          <w:noProof/>
          <w:color w:val="000000" w:themeColor="text1"/>
          <w:szCs w:val="24"/>
        </w:rPr>
        <w:lastRenderedPageBreak/>
        <w:drawing>
          <wp:inline distT="0" distB="0" distL="0" distR="0" wp14:anchorId="57B423EB" wp14:editId="5272B584">
            <wp:extent cx="5943600" cy="2950845"/>
            <wp:effectExtent l="0" t="0" r="0" b="0"/>
            <wp:docPr id="1417530906" name="Picture 22" descr="A graph of a graph showing the average of a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30906" name="Picture 22" descr="A graph of a graph showing the average of a yea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950845"/>
                    </a:xfrm>
                    <a:prstGeom prst="rect">
                      <a:avLst/>
                    </a:prstGeom>
                  </pic:spPr>
                </pic:pic>
              </a:graphicData>
            </a:graphic>
          </wp:inline>
        </w:drawing>
      </w:r>
      <w:r w:rsidRPr="00C14A68">
        <w:rPr>
          <w:i/>
          <w:iCs/>
          <w:color w:val="0000FF"/>
          <w:szCs w:val="24"/>
        </w:rPr>
        <w:t xml:space="preserve"> </w:t>
      </w:r>
      <w:r w:rsidRPr="00C14A68">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16: </w:t>
      </w:r>
      <w:r w:rsidRPr="00C14A68">
        <w:rPr>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Yearly Forecast Comparison 2025-2029 all models</w:t>
      </w:r>
    </w:p>
    <w:p w14:paraId="09A9911A" w14:textId="77777777" w:rsidR="00366775" w:rsidRPr="00366775" w:rsidRDefault="00366775" w:rsidP="00366775">
      <w:pPr>
        <w:spacing w:before="100" w:beforeAutospacing="1" w:after="100" w:afterAutospacing="1" w:line="240" w:lineRule="auto"/>
        <w:outlineLvl w:val="1"/>
        <w:rPr>
          <w:rFonts w:ascii="Times New Roman" w:eastAsia="Times New Roman" w:hAnsi="Times New Roman" w:cs="Times New Roman"/>
          <w:b/>
          <w:bCs/>
          <w:color w:val="000000"/>
          <w:kern w:val="0"/>
          <w:szCs w:val="24"/>
          <w14:ligatures w14:val="none"/>
        </w:rPr>
      </w:pPr>
      <w:r w:rsidRPr="00366775">
        <w:rPr>
          <w:rFonts w:ascii="Times New Roman" w:eastAsia="Times New Roman" w:hAnsi="Times New Roman" w:cs="Times New Roman"/>
          <w:b/>
          <w:bCs/>
          <w:color w:val="000000"/>
          <w:kern w:val="0"/>
          <w:szCs w:val="24"/>
          <w14:ligatures w14:val="none"/>
        </w:rPr>
        <w:t>4. DISCUSSION</w:t>
      </w:r>
    </w:p>
    <w:p w14:paraId="493049D1" w14:textId="77777777" w:rsidR="00366775" w:rsidRPr="00366775" w:rsidRDefault="00366775" w:rsidP="00366775">
      <w:p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r w:rsidRPr="00366775">
        <w:rPr>
          <w:rFonts w:ascii="Times New Roman" w:eastAsia="Times New Roman" w:hAnsi="Times New Roman" w:cs="Times New Roman"/>
          <w:b/>
          <w:bCs/>
          <w:color w:val="000000"/>
          <w:kern w:val="0"/>
          <w:szCs w:val="24"/>
          <w14:ligatures w14:val="none"/>
        </w:rPr>
        <w:t>4.1 Interpretation of Model Performance</w:t>
      </w:r>
    </w:p>
    <w:p w14:paraId="5C8CB9AE" w14:textId="77777777" w:rsidR="00366775" w:rsidRPr="00366775" w:rsidRDefault="00366775" w:rsidP="00366775">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366775">
        <w:rPr>
          <w:rFonts w:ascii="Times New Roman" w:eastAsia="Times New Roman" w:hAnsi="Times New Roman" w:cs="Times New Roman"/>
          <w:color w:val="000000"/>
          <w:kern w:val="0"/>
          <w:szCs w:val="24"/>
          <w14:ligatures w14:val="none"/>
        </w:rPr>
        <w:t>The fact that Linear Regression outperformed more complex methods deserves careful interpretation. This result doesn't mean renewable energy consumption follows simple linear dynamics—far from it. Rather, it demonstrates that well-engineered features can transform complex patterns into relationships that linear models handle effectively. The 3-month rolling mean, for example, already encodes recent trend information that would otherwise require non-linear pattern recognition to capture.</w:t>
      </w:r>
    </w:p>
    <w:p w14:paraId="1DBC317D" w14:textId="77777777" w:rsidR="00366775" w:rsidRPr="00366775" w:rsidRDefault="00366775" w:rsidP="00366775">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366775">
        <w:rPr>
          <w:rFonts w:ascii="Times New Roman" w:eastAsia="Times New Roman" w:hAnsi="Times New Roman" w:cs="Times New Roman"/>
          <w:color w:val="000000"/>
          <w:kern w:val="0"/>
          <w:szCs w:val="24"/>
          <w14:ligatures w14:val="none"/>
        </w:rPr>
        <w:t>The poor performance of ensemble methods like Random Forest and Gradient Boosting was somewhat surprising. These models likely overfit to patterns in the training data that didn't hold up during the 2020-2024 test period. The COVID-19 pandemic and associated economic disruptions in 2020-2021 created unprecedented patterns not seen in the historical data. Simpler models like Linear Regression and ARIMA, with fewer parameters to tune, may navigate such regime shifts more effectively. This observation aligns with the bias-variance tradeoff principle I learned in the MSBA program—simpler models can sometimes generalize better to new data, even if they show higher training error.</w:t>
      </w:r>
    </w:p>
    <w:p w14:paraId="57C343C1" w14:textId="77777777" w:rsidR="00366775" w:rsidRPr="00366775" w:rsidRDefault="00366775" w:rsidP="00366775">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366775">
        <w:rPr>
          <w:rFonts w:ascii="Times New Roman" w:eastAsia="Times New Roman" w:hAnsi="Times New Roman" w:cs="Times New Roman"/>
          <w:color w:val="000000"/>
          <w:kern w:val="0"/>
          <w:szCs w:val="24"/>
          <w14:ligatures w14:val="none"/>
        </w:rPr>
        <w:t xml:space="preserve">ARIMA's respectable performance (R² = 0.5795) validates the traditional time series approach for energy forecasting. Its reliance purely on temporal patterns, without external features, makes it particularly useful when feature data is unavailable or unreliable. The seasonal ARIMA specification successfully captured both the long-term growth trend and recurring annual </w:t>
      </w:r>
      <w:r w:rsidRPr="00366775">
        <w:rPr>
          <w:rFonts w:ascii="Times New Roman" w:eastAsia="Times New Roman" w:hAnsi="Times New Roman" w:cs="Times New Roman"/>
          <w:color w:val="000000"/>
          <w:kern w:val="0"/>
          <w:szCs w:val="24"/>
          <w14:ligatures w14:val="none"/>
        </w:rPr>
        <w:lastRenderedPageBreak/>
        <w:t>patterns. However, the gap between ARIMA's R² of 57.95% and Linear Regression's 81.35% demonstrates the substantial value that sophisticated feature engineering brings to the table.</w:t>
      </w:r>
    </w:p>
    <w:p w14:paraId="790B178E" w14:textId="77777777" w:rsidR="00366775" w:rsidRPr="00366775" w:rsidRDefault="00366775" w:rsidP="00366775">
      <w:p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r w:rsidRPr="00366775">
        <w:rPr>
          <w:rFonts w:ascii="Times New Roman" w:eastAsia="Times New Roman" w:hAnsi="Times New Roman" w:cs="Times New Roman"/>
          <w:b/>
          <w:bCs/>
          <w:color w:val="000000"/>
          <w:kern w:val="0"/>
          <w:szCs w:val="24"/>
          <w14:ligatures w14:val="none"/>
        </w:rPr>
        <w:t>4.2 Energy Source Dynamics</w:t>
      </w:r>
    </w:p>
    <w:p w14:paraId="399397A0" w14:textId="77777777" w:rsidR="00366775" w:rsidRPr="00366775" w:rsidRDefault="00366775" w:rsidP="00366775">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366775">
        <w:rPr>
          <w:rFonts w:ascii="Times New Roman" w:eastAsia="Times New Roman" w:hAnsi="Times New Roman" w:cs="Times New Roman"/>
          <w:color w:val="000000"/>
          <w:kern w:val="0"/>
          <w:szCs w:val="24"/>
          <w14:ligatures w14:val="none"/>
        </w:rPr>
        <w:t xml:space="preserve">The breakdown by energy source reveals a fundamental shift in the U.S. renewable energy portfolio. Hydroelectric power, which once accounted for </w:t>
      </w:r>
      <w:proofErr w:type="gramStart"/>
      <w:r w:rsidRPr="00366775">
        <w:rPr>
          <w:rFonts w:ascii="Times New Roman" w:eastAsia="Times New Roman" w:hAnsi="Times New Roman" w:cs="Times New Roman"/>
          <w:color w:val="000000"/>
          <w:kern w:val="0"/>
          <w:szCs w:val="24"/>
          <w14:ligatures w14:val="none"/>
        </w:rPr>
        <w:t>the majority of</w:t>
      </w:r>
      <w:proofErr w:type="gramEnd"/>
      <w:r w:rsidRPr="00366775">
        <w:rPr>
          <w:rFonts w:ascii="Times New Roman" w:eastAsia="Times New Roman" w:hAnsi="Times New Roman" w:cs="Times New Roman"/>
          <w:color w:val="000000"/>
          <w:kern w:val="0"/>
          <w:szCs w:val="24"/>
          <w14:ligatures w14:val="none"/>
        </w:rPr>
        <w:t xml:space="preserve"> renewable generation, has declined 63% since 1973 in absolute terms. This decline reflects two main factors: first, U.S. hydroelectric infrastructure is mature—most economically viable dam sites have already been developed. Second, environmental concerns about dam impacts on river ecosystems and fish populations have made new projects difficult to approve.</w:t>
      </w:r>
    </w:p>
    <w:p w14:paraId="6E2CA452" w14:textId="77777777" w:rsidR="00366775" w:rsidRPr="00366775" w:rsidRDefault="00366775" w:rsidP="00366775">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366775">
        <w:rPr>
          <w:rFonts w:ascii="Times New Roman" w:eastAsia="Times New Roman" w:hAnsi="Times New Roman" w:cs="Times New Roman"/>
          <w:color w:val="000000"/>
          <w:kern w:val="0"/>
          <w:szCs w:val="24"/>
          <w14:ligatures w14:val="none"/>
        </w:rPr>
        <w:t>Newer technologies, in contrast, show explosive growth. Geothermal energy increased 1,950%, though admittedly from a small starting base. Solar and wind energies accelerated exponentially after 2010, driven by dramatic cost reductions. Solar panel costs, for instance, declined roughly 90% over the past decade. Supportive policies like Investment Tax Credits and state-level Renewable Portfolio Standards also played crucial roles. Biomass energy grew 274%, reflecting steady diversification into agricultural waste, municipal solid waste, and advanced biofuels, supported by both energy and agricultural policies.</w:t>
      </w:r>
    </w:p>
    <w:p w14:paraId="41A8DDC4" w14:textId="77777777" w:rsidR="00366775" w:rsidRPr="00366775" w:rsidRDefault="00366775" w:rsidP="00366775">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366775">
        <w:rPr>
          <w:rFonts w:ascii="Times New Roman" w:eastAsia="Times New Roman" w:hAnsi="Times New Roman" w:cs="Times New Roman"/>
          <w:color w:val="000000"/>
          <w:kern w:val="0"/>
          <w:szCs w:val="24"/>
          <w14:ligatures w14:val="none"/>
        </w:rPr>
        <w:t>The strong positive correlations I found among modern renewables (geothermal, solar, wind, biomass) suggest they share common drivers. These include technological learning curves that drive down costs across multiple technologies, shared supply chains for components like power electronics and grid interconnection equipment, complementary policy frameworks that support several technologies simultaneously, and infrastructure investments such as grid upgrades that benefit all renewable sources. This correlation structure has important implications for portfolio risk management—traditional diversification benefits are limited when technologies move together rather than independently.</w:t>
      </w:r>
    </w:p>
    <w:p w14:paraId="06508B56" w14:textId="77777777" w:rsidR="00366775" w:rsidRPr="00366775" w:rsidRDefault="00366775" w:rsidP="00366775">
      <w:p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r w:rsidRPr="00366775">
        <w:rPr>
          <w:rFonts w:ascii="Times New Roman" w:eastAsia="Times New Roman" w:hAnsi="Times New Roman" w:cs="Times New Roman"/>
          <w:b/>
          <w:bCs/>
          <w:color w:val="000000"/>
          <w:kern w:val="0"/>
          <w:szCs w:val="24"/>
          <w14:ligatures w14:val="none"/>
        </w:rPr>
        <w:t>4.3 Forecast Implications for Policy and Planning</w:t>
      </w:r>
    </w:p>
    <w:p w14:paraId="5AFE21A1" w14:textId="77777777" w:rsidR="00366775" w:rsidRPr="00366775" w:rsidRDefault="00366775" w:rsidP="00366775">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366775">
        <w:rPr>
          <w:rFonts w:ascii="Times New Roman" w:eastAsia="Times New Roman" w:hAnsi="Times New Roman" w:cs="Times New Roman"/>
          <w:color w:val="000000"/>
          <w:kern w:val="0"/>
          <w:szCs w:val="24"/>
          <w14:ligatures w14:val="none"/>
        </w:rPr>
        <w:t>The projected 2.23% growth through 2029 carries significant policy implications. At this trajectory, renewable energy will provide increasing but still modest contributions to total U.S. energy consumption. Meeting aggressive climate targets—such as the 50% reduction in greenhouse gas emissions by 2030 outlined in Paris Agreement commitments—would require accelerating renewable adoption well beyond current forecasts. This gap suggests the need for significant policy interventions, such as enhanced tax incentives, carbon pricing mechanisms, or stricter regulatory mandates.</w:t>
      </w:r>
    </w:p>
    <w:p w14:paraId="625D10F3" w14:textId="77777777" w:rsidR="00366775" w:rsidRPr="00366775" w:rsidRDefault="00366775" w:rsidP="00366775">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366775">
        <w:rPr>
          <w:rFonts w:ascii="Times New Roman" w:eastAsia="Times New Roman" w:hAnsi="Times New Roman" w:cs="Times New Roman"/>
          <w:color w:val="000000"/>
          <w:kern w:val="0"/>
          <w:szCs w:val="24"/>
          <w14:ligatures w14:val="none"/>
        </w:rPr>
        <w:t>The wide confidence intervals (±50 trillion BTUs) highlight considerable forecast uncertainty. This uncertainty means policy makers should develop flexible strategies that can accommodate both optimistic and pessimistic scenarios. For infrastructure planning, this suggests using modular, scalable approaches rather than making rigid capacity commitments based on single point forecasts. Scenario planning techniques can help organizations prepare for multiple possible futures within the confidence interval range.</w:t>
      </w:r>
    </w:p>
    <w:p w14:paraId="276036F6" w14:textId="77777777" w:rsidR="00366775" w:rsidRPr="00366775" w:rsidRDefault="00366775" w:rsidP="00366775">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366775">
        <w:rPr>
          <w:rFonts w:ascii="Times New Roman" w:eastAsia="Times New Roman" w:hAnsi="Times New Roman" w:cs="Times New Roman"/>
          <w:color w:val="000000"/>
          <w:kern w:val="0"/>
          <w:szCs w:val="24"/>
          <w14:ligatures w14:val="none"/>
        </w:rPr>
        <w:lastRenderedPageBreak/>
        <w:t>The seasonal patterns identified in this analysis—winter peaks and September troughs—suggest practical opportunities for demand-side management and storage solutions. Grid operators can anticipate higher renewable availability during certain months and plan maintenance and storage charging accordingly. Because these seasonal patterns have been consistent year over year, they're relatively predictable for operational planning. This enables utilities to optimize maintenance schedules and backup generation capacity, potentially reducing costs while maintaining reliability.</w:t>
      </w:r>
    </w:p>
    <w:p w14:paraId="4C9E58AE" w14:textId="77777777" w:rsidR="007919FD" w:rsidRPr="007919FD" w:rsidRDefault="007919FD" w:rsidP="007919FD">
      <w:pPr>
        <w:spacing w:before="100" w:beforeAutospacing="1" w:after="100" w:afterAutospacing="1" w:line="240" w:lineRule="auto"/>
        <w:outlineLvl w:val="1"/>
        <w:rPr>
          <w:rFonts w:ascii="Times New Roman" w:eastAsia="Times New Roman" w:hAnsi="Times New Roman" w:cs="Times New Roman"/>
          <w:b/>
          <w:bCs/>
          <w:color w:val="000000"/>
          <w:kern w:val="0"/>
          <w:szCs w:val="24"/>
          <w14:ligatures w14:val="none"/>
        </w:rPr>
      </w:pPr>
      <w:r w:rsidRPr="007919FD">
        <w:rPr>
          <w:rFonts w:ascii="Times New Roman" w:eastAsia="Times New Roman" w:hAnsi="Times New Roman" w:cs="Times New Roman"/>
          <w:b/>
          <w:bCs/>
          <w:color w:val="000000"/>
          <w:kern w:val="0"/>
          <w:szCs w:val="24"/>
          <w14:ligatures w14:val="none"/>
        </w:rPr>
        <w:t>5. CONCLUSION</w:t>
      </w:r>
    </w:p>
    <w:p w14:paraId="71BCE08D" w14:textId="77777777" w:rsidR="007919FD" w:rsidRPr="007919FD" w:rsidRDefault="007919FD" w:rsidP="007919FD">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7919FD">
        <w:rPr>
          <w:rFonts w:ascii="Times New Roman" w:eastAsia="Times New Roman" w:hAnsi="Times New Roman" w:cs="Times New Roman"/>
          <w:color w:val="000000"/>
          <w:kern w:val="0"/>
          <w:szCs w:val="24"/>
          <w14:ligatures w14:val="none"/>
        </w:rPr>
        <w:t>This capstone project successfully developed and evaluated forecasting models for U.S. renewable energy consumption using 51 years of monthly data. The comparative analysis of six different modeling approaches yielded several important findings with both theoretical and practical value.</w:t>
      </w:r>
    </w:p>
    <w:p w14:paraId="75FF7D27" w14:textId="77777777" w:rsidR="007919FD" w:rsidRPr="007919FD" w:rsidRDefault="007919FD" w:rsidP="007919FD">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7919FD">
        <w:rPr>
          <w:rFonts w:ascii="Times New Roman" w:eastAsia="Times New Roman" w:hAnsi="Times New Roman" w:cs="Times New Roman"/>
          <w:b/>
          <w:bCs/>
          <w:color w:val="000000"/>
          <w:kern w:val="0"/>
          <w:szCs w:val="24"/>
          <w14:ligatures w14:val="none"/>
        </w:rPr>
        <w:t>Key Finding #1:</w:t>
      </w:r>
      <w:r w:rsidRPr="007919FD">
        <w:rPr>
          <w:rFonts w:ascii="Times New Roman" w:eastAsia="Times New Roman" w:hAnsi="Times New Roman" w:cs="Times New Roman"/>
          <w:color w:val="000000"/>
          <w:kern w:val="0"/>
          <w:szCs w:val="24"/>
          <w14:ligatures w14:val="none"/>
        </w:rPr>
        <w:t> Linear Regression with engineered temporal features proved to be the best forecasting model, achieving R² = 0.8135 and MAPE = 2.06%. This demonstrates that thoughtful feature engineering can enable simple models to capture complex dynamics and often outperform more sophisticated algorithms. This has practical implications for organizations that need interpretable, maintainable forecasting systems that can be easily explained to stakeholders.</w:t>
      </w:r>
    </w:p>
    <w:p w14:paraId="65712BA4" w14:textId="77777777" w:rsidR="007919FD" w:rsidRPr="007919FD" w:rsidRDefault="007919FD" w:rsidP="007919FD">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7919FD">
        <w:rPr>
          <w:rFonts w:ascii="Times New Roman" w:eastAsia="Times New Roman" w:hAnsi="Times New Roman" w:cs="Times New Roman"/>
          <w:b/>
          <w:bCs/>
          <w:color w:val="000000"/>
          <w:kern w:val="0"/>
          <w:szCs w:val="24"/>
          <w14:ligatures w14:val="none"/>
        </w:rPr>
        <w:t>Key Finding #2:</w:t>
      </w:r>
      <w:r w:rsidRPr="007919FD">
        <w:rPr>
          <w:rFonts w:ascii="Times New Roman" w:eastAsia="Times New Roman" w:hAnsi="Times New Roman" w:cs="Times New Roman"/>
          <w:color w:val="000000"/>
          <w:kern w:val="0"/>
          <w:szCs w:val="24"/>
          <w14:ligatures w14:val="none"/>
        </w:rPr>
        <w:t> The U.S. renewable energy portfolio has undergone fundamental transformation. Hydroelectric power declined 63% while modern technologies—solar, wind, geothermal, and biomass—showed explosive growth, especially after 2010. These shifts reflect technological maturation and evolving policy priorities. The strong correlations among modern renewables (r &gt; 0.68) suggest they share common drivers, which limits traditional diversification benefits and has important implications for portfolio risk management.</w:t>
      </w:r>
    </w:p>
    <w:p w14:paraId="41A410C3" w14:textId="77777777" w:rsidR="007919FD" w:rsidRPr="007919FD" w:rsidRDefault="007919FD" w:rsidP="007919FD">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7919FD">
        <w:rPr>
          <w:rFonts w:ascii="Times New Roman" w:eastAsia="Times New Roman" w:hAnsi="Times New Roman" w:cs="Times New Roman"/>
          <w:b/>
          <w:bCs/>
          <w:color w:val="000000"/>
          <w:kern w:val="0"/>
          <w:szCs w:val="24"/>
          <w14:ligatures w14:val="none"/>
        </w:rPr>
        <w:t>Key Finding #3:</w:t>
      </w:r>
      <w:r w:rsidRPr="007919FD">
        <w:rPr>
          <w:rFonts w:ascii="Times New Roman" w:eastAsia="Times New Roman" w:hAnsi="Times New Roman" w:cs="Times New Roman"/>
          <w:color w:val="000000"/>
          <w:kern w:val="0"/>
          <w:szCs w:val="24"/>
          <w14:ligatures w14:val="none"/>
        </w:rPr>
        <w:t> The five-year forecast projects modest growth of 2.23% through 2029, reaching 533.38 trillion BTUs. This conservative trajectory reflects market maturation, grid integration challenges, and infrastructure constraints. While the forecast provides quantitative benchmarks for policy evaluation, the wide confidence intervals (±50 trillion BTUs) highlight considerable uncertainty and the need for flexible planning.</w:t>
      </w:r>
    </w:p>
    <w:p w14:paraId="4E23EF0B" w14:textId="77777777" w:rsidR="007919FD" w:rsidRPr="007919FD" w:rsidRDefault="007919FD" w:rsidP="007919FD">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7919FD">
        <w:rPr>
          <w:rFonts w:ascii="Times New Roman" w:eastAsia="Times New Roman" w:hAnsi="Times New Roman" w:cs="Times New Roman"/>
          <w:b/>
          <w:bCs/>
          <w:color w:val="000000"/>
          <w:kern w:val="0"/>
          <w:szCs w:val="24"/>
          <w14:ligatures w14:val="none"/>
        </w:rPr>
        <w:t>Key Finding #4:</w:t>
      </w:r>
      <w:r w:rsidRPr="007919FD">
        <w:rPr>
          <w:rFonts w:ascii="Times New Roman" w:eastAsia="Times New Roman" w:hAnsi="Times New Roman" w:cs="Times New Roman"/>
          <w:color w:val="000000"/>
          <w:kern w:val="0"/>
          <w:szCs w:val="24"/>
          <w14:ligatures w14:val="none"/>
        </w:rPr>
        <w:t> Different forecasting methods suit different contexts. ARIMA works well when external features are unavailable, while Linear Regression leverages engineered features for superior accuracy. Ensemble methods struggled with the regime shift caused by COVID-19, highlighting that simpler models can be more robust to unprecedented events.</w:t>
      </w:r>
    </w:p>
    <w:p w14:paraId="5396498B" w14:textId="77777777" w:rsidR="007919FD" w:rsidRPr="007919FD" w:rsidRDefault="007919FD" w:rsidP="007919FD">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7919FD">
        <w:rPr>
          <w:rFonts w:ascii="Times New Roman" w:eastAsia="Times New Roman" w:hAnsi="Times New Roman" w:cs="Times New Roman"/>
          <w:color w:val="000000"/>
          <w:kern w:val="0"/>
          <w:szCs w:val="24"/>
          <w14:ligatures w14:val="none"/>
        </w:rPr>
        <w:t xml:space="preserve">The project demonstrates the value of systematic comparative methodology in applied analytics. Rather than committing to a single approach, evaluating multiple methods reveals which work best for specific data characteristics. The temporal train-test </w:t>
      </w:r>
      <w:proofErr w:type="gramStart"/>
      <w:r w:rsidRPr="007919FD">
        <w:rPr>
          <w:rFonts w:ascii="Times New Roman" w:eastAsia="Times New Roman" w:hAnsi="Times New Roman" w:cs="Times New Roman"/>
          <w:color w:val="000000"/>
          <w:kern w:val="0"/>
          <w:szCs w:val="24"/>
          <w14:ligatures w14:val="none"/>
        </w:rPr>
        <w:t>split</w:t>
      </w:r>
      <w:proofErr w:type="gramEnd"/>
      <w:r w:rsidRPr="007919FD">
        <w:rPr>
          <w:rFonts w:ascii="Times New Roman" w:eastAsia="Times New Roman" w:hAnsi="Times New Roman" w:cs="Times New Roman"/>
          <w:color w:val="000000"/>
          <w:kern w:val="0"/>
          <w:szCs w:val="24"/>
          <w14:ligatures w14:val="none"/>
        </w:rPr>
        <w:t xml:space="preserve"> and careful prevention of data leakage ensure the results reflect genuine out-of-sample performance.</w:t>
      </w:r>
    </w:p>
    <w:p w14:paraId="47903D73" w14:textId="77777777" w:rsidR="007919FD" w:rsidRPr="007919FD" w:rsidRDefault="007919FD" w:rsidP="007919FD">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7919FD">
        <w:rPr>
          <w:rFonts w:ascii="Times New Roman" w:eastAsia="Times New Roman" w:hAnsi="Times New Roman" w:cs="Times New Roman"/>
          <w:color w:val="000000"/>
          <w:kern w:val="0"/>
          <w:szCs w:val="24"/>
          <w14:ligatures w14:val="none"/>
        </w:rPr>
        <w:t xml:space="preserve">From a practical standpoint, this work provides actionable intelligence for multiple groups. Policy makers gain quantitative forecasts for setting targets and evaluating progress toward </w:t>
      </w:r>
      <w:r w:rsidRPr="007919FD">
        <w:rPr>
          <w:rFonts w:ascii="Times New Roman" w:eastAsia="Times New Roman" w:hAnsi="Times New Roman" w:cs="Times New Roman"/>
          <w:color w:val="000000"/>
          <w:kern w:val="0"/>
          <w:szCs w:val="24"/>
          <w14:ligatures w14:val="none"/>
        </w:rPr>
        <w:lastRenderedPageBreak/>
        <w:t>climate goals. Utility companies receive insights for capacity planning and managing intermittent renewable sources. Investors obtain data-driven projections for market assessment. The feature importance analysis highlights that the 3-month rolling mean is the key signal organizations should monitor for adaptive forecasting.</w:t>
      </w:r>
    </w:p>
    <w:p w14:paraId="03924A76" w14:textId="77777777" w:rsidR="007919FD" w:rsidRPr="007919FD" w:rsidRDefault="007919FD" w:rsidP="007919FD">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7919FD">
        <w:rPr>
          <w:rFonts w:ascii="Times New Roman" w:eastAsia="Times New Roman" w:hAnsi="Times New Roman" w:cs="Times New Roman"/>
          <w:color w:val="000000"/>
          <w:kern w:val="0"/>
          <w:szCs w:val="24"/>
          <w14:ligatures w14:val="none"/>
        </w:rPr>
        <w:t>In summary, this capstone advances both understanding and application of machine learning in energy forecasting. The finding that simple models with good features outperform complex algorithms challenges conventional assumptions and provides guidance for future projects. The comprehensive analysis of renewable energy trends offers insights into the ongoing energy transition and its implications for policy, planning, and investment in sustainable energy.</w:t>
      </w:r>
    </w:p>
    <w:p w14:paraId="1E3F30A4" w14:textId="1F7C6D86" w:rsidR="007919FD" w:rsidRPr="007919FD" w:rsidRDefault="007919FD" w:rsidP="007919FD">
      <w:pPr>
        <w:spacing w:after="0" w:line="240" w:lineRule="auto"/>
        <w:rPr>
          <w:rFonts w:ascii="Times New Roman" w:eastAsia="Times New Roman" w:hAnsi="Times New Roman" w:cs="Times New Roman"/>
          <w:kern w:val="0"/>
          <w:szCs w:val="24"/>
          <w14:ligatures w14:val="none"/>
        </w:rPr>
      </w:pPr>
    </w:p>
    <w:p w14:paraId="7939B7A6" w14:textId="77777777" w:rsidR="007919FD" w:rsidRPr="007919FD" w:rsidRDefault="007919FD" w:rsidP="007919FD">
      <w:pPr>
        <w:spacing w:before="100" w:beforeAutospacing="1" w:after="100" w:afterAutospacing="1" w:line="240" w:lineRule="auto"/>
        <w:outlineLvl w:val="1"/>
        <w:rPr>
          <w:rFonts w:ascii="Times New Roman" w:eastAsia="Times New Roman" w:hAnsi="Times New Roman" w:cs="Times New Roman"/>
          <w:b/>
          <w:bCs/>
          <w:color w:val="000000"/>
          <w:kern w:val="0"/>
          <w:szCs w:val="24"/>
          <w14:ligatures w14:val="none"/>
        </w:rPr>
      </w:pPr>
      <w:r w:rsidRPr="007919FD">
        <w:rPr>
          <w:rFonts w:ascii="Times New Roman" w:eastAsia="Times New Roman" w:hAnsi="Times New Roman" w:cs="Times New Roman"/>
          <w:b/>
          <w:bCs/>
          <w:color w:val="000000"/>
          <w:kern w:val="0"/>
          <w:szCs w:val="24"/>
          <w14:ligatures w14:val="none"/>
        </w:rPr>
        <w:t>6. RECOMMENDATIONS</w:t>
      </w:r>
    </w:p>
    <w:p w14:paraId="364764B9" w14:textId="77777777" w:rsidR="007919FD" w:rsidRPr="007919FD" w:rsidRDefault="007919FD" w:rsidP="007919FD">
      <w:p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r w:rsidRPr="007919FD">
        <w:rPr>
          <w:rFonts w:ascii="Times New Roman" w:eastAsia="Times New Roman" w:hAnsi="Times New Roman" w:cs="Times New Roman"/>
          <w:b/>
          <w:bCs/>
          <w:color w:val="000000"/>
          <w:kern w:val="0"/>
          <w:szCs w:val="24"/>
          <w14:ligatures w14:val="none"/>
        </w:rPr>
        <w:t>6.1 For Policy Makers</w:t>
      </w:r>
    </w:p>
    <w:p w14:paraId="6BEFEBFD" w14:textId="77777777" w:rsidR="007919FD" w:rsidRPr="007919FD" w:rsidRDefault="007919FD" w:rsidP="007919FD">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7919FD">
        <w:rPr>
          <w:rFonts w:ascii="Times New Roman" w:eastAsia="Times New Roman" w:hAnsi="Times New Roman" w:cs="Times New Roman"/>
          <w:b/>
          <w:bCs/>
          <w:color w:val="000000"/>
          <w:kern w:val="0"/>
          <w:szCs w:val="24"/>
          <w14:ligatures w14:val="none"/>
        </w:rPr>
        <w:t>Accelerate policy interventions.</w:t>
      </w:r>
      <w:r w:rsidRPr="007919FD">
        <w:rPr>
          <w:rFonts w:ascii="Times New Roman" w:eastAsia="Times New Roman" w:hAnsi="Times New Roman" w:cs="Times New Roman"/>
          <w:color w:val="000000"/>
          <w:kern w:val="0"/>
          <w:szCs w:val="24"/>
          <w14:ligatures w14:val="none"/>
        </w:rPr>
        <w:t> Current growth of 2.23% through 2029 falls short of what's needed to meet Paris Agreement climate targets. Enhanced tax incentives, carbon pricing, or stricter mandates will be necessary.</w:t>
      </w:r>
    </w:p>
    <w:p w14:paraId="6E3D407E" w14:textId="77777777" w:rsidR="007919FD" w:rsidRPr="007919FD" w:rsidRDefault="007919FD" w:rsidP="007919FD">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7919FD">
        <w:rPr>
          <w:rFonts w:ascii="Times New Roman" w:eastAsia="Times New Roman" w:hAnsi="Times New Roman" w:cs="Times New Roman"/>
          <w:b/>
          <w:bCs/>
          <w:color w:val="000000"/>
          <w:kern w:val="0"/>
          <w:szCs w:val="24"/>
          <w14:ligatures w14:val="none"/>
        </w:rPr>
        <w:t>Diversify beyond wind and solar.</w:t>
      </w:r>
      <w:r w:rsidRPr="007919FD">
        <w:rPr>
          <w:rFonts w:ascii="Times New Roman" w:eastAsia="Times New Roman" w:hAnsi="Times New Roman" w:cs="Times New Roman"/>
          <w:color w:val="000000"/>
          <w:kern w:val="0"/>
          <w:szCs w:val="24"/>
          <w14:ligatures w14:val="none"/>
        </w:rPr>
        <w:t> Despite their current dominance, supporting geothermal and advanced biomass technologies would reduce portfolio correlation risk and create a more resilient renewable energy mix.</w:t>
      </w:r>
    </w:p>
    <w:p w14:paraId="3EE01E14" w14:textId="77777777" w:rsidR="007919FD" w:rsidRPr="007919FD" w:rsidRDefault="007919FD" w:rsidP="007919FD">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7919FD">
        <w:rPr>
          <w:rFonts w:ascii="Times New Roman" w:eastAsia="Times New Roman" w:hAnsi="Times New Roman" w:cs="Times New Roman"/>
          <w:b/>
          <w:bCs/>
          <w:color w:val="000000"/>
          <w:kern w:val="0"/>
          <w:szCs w:val="24"/>
          <w14:ligatures w14:val="none"/>
        </w:rPr>
        <w:t>Invest in grid infrastructure and storage.</w:t>
      </w:r>
      <w:r w:rsidRPr="007919FD">
        <w:rPr>
          <w:rFonts w:ascii="Times New Roman" w:eastAsia="Times New Roman" w:hAnsi="Times New Roman" w:cs="Times New Roman"/>
          <w:color w:val="000000"/>
          <w:kern w:val="0"/>
          <w:szCs w:val="24"/>
          <w14:ligatures w14:val="none"/>
        </w:rPr>
        <w:t> The seasonal patterns identified require enhanced flexibility and storage capacity to smooth supply-demand mismatches as renewable penetration increases.</w:t>
      </w:r>
    </w:p>
    <w:p w14:paraId="36EECC4B" w14:textId="77777777" w:rsidR="007919FD" w:rsidRPr="007919FD" w:rsidRDefault="007919FD" w:rsidP="007919FD">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7919FD">
        <w:rPr>
          <w:rFonts w:ascii="Times New Roman" w:eastAsia="Times New Roman" w:hAnsi="Times New Roman" w:cs="Times New Roman"/>
          <w:b/>
          <w:bCs/>
          <w:color w:val="000000"/>
          <w:kern w:val="0"/>
          <w:szCs w:val="24"/>
          <w14:ligatures w14:val="none"/>
        </w:rPr>
        <w:t>Plan for uncertainty.</w:t>
      </w:r>
      <w:r w:rsidRPr="007919FD">
        <w:rPr>
          <w:rFonts w:ascii="Times New Roman" w:eastAsia="Times New Roman" w:hAnsi="Times New Roman" w:cs="Times New Roman"/>
          <w:color w:val="000000"/>
          <w:kern w:val="0"/>
          <w:szCs w:val="24"/>
          <w14:ligatures w14:val="none"/>
        </w:rPr>
        <w:t> The wide confidence intervals mean policy makers should develop contingency strategies for both optimistic growth and stagnation scenarios.</w:t>
      </w:r>
    </w:p>
    <w:p w14:paraId="022029B9" w14:textId="77777777" w:rsidR="007919FD" w:rsidRPr="007919FD" w:rsidRDefault="007919FD" w:rsidP="007919FD">
      <w:p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r w:rsidRPr="007919FD">
        <w:rPr>
          <w:rFonts w:ascii="Times New Roman" w:eastAsia="Times New Roman" w:hAnsi="Times New Roman" w:cs="Times New Roman"/>
          <w:b/>
          <w:bCs/>
          <w:color w:val="000000"/>
          <w:kern w:val="0"/>
          <w:szCs w:val="24"/>
          <w14:ligatures w14:val="none"/>
        </w:rPr>
        <w:t>6.2 For Energy Companies</w:t>
      </w:r>
    </w:p>
    <w:p w14:paraId="26ED54D5" w14:textId="77777777" w:rsidR="007919FD" w:rsidRPr="007919FD" w:rsidRDefault="007919FD" w:rsidP="007919FD">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7919FD">
        <w:rPr>
          <w:rFonts w:ascii="Times New Roman" w:eastAsia="Times New Roman" w:hAnsi="Times New Roman" w:cs="Times New Roman"/>
          <w:b/>
          <w:bCs/>
          <w:color w:val="000000"/>
          <w:kern w:val="0"/>
          <w:szCs w:val="24"/>
          <w14:ligatures w14:val="none"/>
        </w:rPr>
        <w:t>Prioritize solar and wind investments.</w:t>
      </w:r>
      <w:r w:rsidRPr="007919FD">
        <w:rPr>
          <w:rFonts w:ascii="Times New Roman" w:eastAsia="Times New Roman" w:hAnsi="Times New Roman" w:cs="Times New Roman"/>
          <w:color w:val="000000"/>
          <w:kern w:val="0"/>
          <w:szCs w:val="24"/>
          <w14:ligatures w14:val="none"/>
        </w:rPr>
        <w:t> These show the strongest growth and improving cost competitiveness, though companies should prepare for market saturation as growth rates moderate.</w:t>
      </w:r>
    </w:p>
    <w:p w14:paraId="79DC32D0" w14:textId="77777777" w:rsidR="007919FD" w:rsidRPr="007919FD" w:rsidRDefault="007919FD" w:rsidP="007919FD">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7919FD">
        <w:rPr>
          <w:rFonts w:ascii="Times New Roman" w:eastAsia="Times New Roman" w:hAnsi="Times New Roman" w:cs="Times New Roman"/>
          <w:b/>
          <w:bCs/>
          <w:color w:val="000000"/>
          <w:kern w:val="0"/>
          <w:szCs w:val="24"/>
          <w14:ligatures w14:val="none"/>
        </w:rPr>
        <w:t>Optimize operations around seasonal patterns.</w:t>
      </w:r>
      <w:r w:rsidRPr="007919FD">
        <w:rPr>
          <w:rFonts w:ascii="Times New Roman" w:eastAsia="Times New Roman" w:hAnsi="Times New Roman" w:cs="Times New Roman"/>
          <w:color w:val="000000"/>
          <w:kern w:val="0"/>
          <w:szCs w:val="24"/>
          <w14:ligatures w14:val="none"/>
        </w:rPr>
        <w:t> Schedule maintenance during low-demand periods (September) and ensure maximum capacity during winter peaks when renewable generation is highest.</w:t>
      </w:r>
    </w:p>
    <w:p w14:paraId="0F9658B1" w14:textId="77777777" w:rsidR="007919FD" w:rsidRPr="007919FD" w:rsidRDefault="007919FD" w:rsidP="007919FD">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7919FD">
        <w:rPr>
          <w:rFonts w:ascii="Times New Roman" w:eastAsia="Times New Roman" w:hAnsi="Times New Roman" w:cs="Times New Roman"/>
          <w:b/>
          <w:bCs/>
          <w:color w:val="000000"/>
          <w:kern w:val="0"/>
          <w:szCs w:val="24"/>
          <w14:ligatures w14:val="none"/>
        </w:rPr>
        <w:t>Build truly diversified portfolios.</w:t>
      </w:r>
      <w:r w:rsidRPr="007919FD">
        <w:rPr>
          <w:rFonts w:ascii="Times New Roman" w:eastAsia="Times New Roman" w:hAnsi="Times New Roman" w:cs="Times New Roman"/>
          <w:color w:val="000000"/>
          <w:kern w:val="0"/>
          <w:szCs w:val="24"/>
          <w14:ligatures w14:val="none"/>
        </w:rPr>
        <w:t> Since modern renewables are highly correlated (r &gt; 0.68), real diversification requires including energy storage or dispatchable backup generation, not just mixing different renewable sources.</w:t>
      </w:r>
    </w:p>
    <w:p w14:paraId="15D52CD6" w14:textId="77AF2D74" w:rsidR="007919FD" w:rsidRPr="00C14A68" w:rsidRDefault="007919FD" w:rsidP="007919FD">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7919FD">
        <w:rPr>
          <w:rFonts w:ascii="Times New Roman" w:eastAsia="Times New Roman" w:hAnsi="Times New Roman" w:cs="Times New Roman"/>
          <w:b/>
          <w:bCs/>
          <w:color w:val="000000"/>
          <w:kern w:val="0"/>
          <w:szCs w:val="24"/>
          <w14:ligatures w14:val="none"/>
        </w:rPr>
        <w:lastRenderedPageBreak/>
        <w:t>Implement adaptive forecasting.</w:t>
      </w:r>
      <w:r w:rsidRPr="007919FD">
        <w:rPr>
          <w:rFonts w:ascii="Times New Roman" w:eastAsia="Times New Roman" w:hAnsi="Times New Roman" w:cs="Times New Roman"/>
          <w:color w:val="000000"/>
          <w:kern w:val="0"/>
          <w:szCs w:val="24"/>
          <w14:ligatures w14:val="none"/>
        </w:rPr>
        <w:t> The 3-month rolling mean's dominance (71% importance) indicates that regularly updating models with recent data is crucial for maintaining accuracy.</w:t>
      </w:r>
      <w:r w:rsidRPr="00C14A68">
        <w:rPr>
          <w:rFonts w:ascii="Times New Roman" w:eastAsia="Times New Roman" w:hAnsi="Times New Roman" w:cs="Times New Roman"/>
          <w:color w:val="000000"/>
          <w:kern w:val="0"/>
          <w:szCs w:val="24"/>
          <w14:ligatures w14:val="none"/>
        </w:rPr>
        <w:t xml:space="preserve"> </w:t>
      </w:r>
    </w:p>
    <w:p w14:paraId="7149C7A4" w14:textId="77777777" w:rsidR="007919FD" w:rsidRPr="00C14A68" w:rsidRDefault="007919FD" w:rsidP="007919FD">
      <w:pPr>
        <w:spacing w:before="100" w:beforeAutospacing="1" w:after="100" w:afterAutospacing="1" w:line="240" w:lineRule="auto"/>
        <w:outlineLvl w:val="1"/>
        <w:rPr>
          <w:rFonts w:ascii="Times New Roman" w:eastAsia="Times New Roman" w:hAnsi="Times New Roman" w:cs="Times New Roman"/>
          <w:b/>
          <w:bCs/>
          <w:color w:val="000000"/>
          <w:kern w:val="0"/>
          <w:szCs w:val="24"/>
          <w14:ligatures w14:val="none"/>
        </w:rPr>
      </w:pPr>
    </w:p>
    <w:p w14:paraId="07846181" w14:textId="6AAC5BC7" w:rsidR="007919FD" w:rsidRPr="007919FD" w:rsidRDefault="007919FD" w:rsidP="007919FD">
      <w:pPr>
        <w:spacing w:before="100" w:beforeAutospacing="1" w:after="100" w:afterAutospacing="1" w:line="240" w:lineRule="auto"/>
        <w:outlineLvl w:val="1"/>
        <w:rPr>
          <w:rFonts w:ascii="Times New Roman" w:eastAsia="Times New Roman" w:hAnsi="Times New Roman" w:cs="Times New Roman"/>
          <w:b/>
          <w:bCs/>
          <w:color w:val="000000"/>
          <w:kern w:val="0"/>
          <w:szCs w:val="24"/>
          <w14:ligatures w14:val="none"/>
        </w:rPr>
      </w:pPr>
      <w:r w:rsidRPr="007919FD">
        <w:rPr>
          <w:rFonts w:ascii="Times New Roman" w:eastAsia="Times New Roman" w:hAnsi="Times New Roman" w:cs="Times New Roman"/>
          <w:b/>
          <w:bCs/>
          <w:color w:val="000000"/>
          <w:kern w:val="0"/>
          <w:szCs w:val="24"/>
          <w14:ligatures w14:val="none"/>
        </w:rPr>
        <w:t>7. FUTURE WORK</w:t>
      </w:r>
    </w:p>
    <w:p w14:paraId="7C9D52BF" w14:textId="77777777" w:rsidR="007919FD" w:rsidRPr="007919FD" w:rsidRDefault="007919FD" w:rsidP="007919FD">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7919FD">
        <w:rPr>
          <w:rFonts w:ascii="Times New Roman" w:eastAsia="Times New Roman" w:hAnsi="Times New Roman" w:cs="Times New Roman"/>
          <w:color w:val="000000"/>
          <w:kern w:val="0"/>
          <w:szCs w:val="24"/>
          <w14:ligatures w14:val="none"/>
        </w:rPr>
        <w:t>This project opens several directions for future investigation that would enhance both understanding and practical application:</w:t>
      </w:r>
    </w:p>
    <w:p w14:paraId="3A7C7521" w14:textId="77777777" w:rsidR="007919FD" w:rsidRPr="007919FD" w:rsidRDefault="007919FD" w:rsidP="007919FD">
      <w:p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r w:rsidRPr="007919FD">
        <w:rPr>
          <w:rFonts w:ascii="Times New Roman" w:eastAsia="Times New Roman" w:hAnsi="Times New Roman" w:cs="Times New Roman"/>
          <w:b/>
          <w:bCs/>
          <w:color w:val="000000"/>
          <w:kern w:val="0"/>
          <w:szCs w:val="24"/>
          <w14:ligatures w14:val="none"/>
        </w:rPr>
        <w:t>7.1 Incorporate External Variables</w:t>
      </w:r>
    </w:p>
    <w:p w14:paraId="53A643AF" w14:textId="77777777" w:rsidR="007919FD" w:rsidRPr="007919FD" w:rsidRDefault="007919FD" w:rsidP="007919FD">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7919FD">
        <w:rPr>
          <w:rFonts w:ascii="Times New Roman" w:eastAsia="Times New Roman" w:hAnsi="Times New Roman" w:cs="Times New Roman"/>
          <w:color w:val="000000"/>
          <w:kern w:val="0"/>
          <w:szCs w:val="24"/>
          <w14:ligatures w14:val="none"/>
        </w:rPr>
        <w:t>Future models should include factors beyond historical consumption patterns. Policy variables like renewable subsidies, tax credits, and carbon pricing could capture regulatory impacts. Economic indicators such as GDP growth, energy prices, and financing costs would reflect market conditions. Technological factors like solar efficiency improvements and battery storage costs would account for innovation effects. Weather patterns affecting generation could improve short-term accuracy. Adding these variables would enable scenario analysis—for example, forecasting how different policy interventions might accelerate renewable adoption.</w:t>
      </w:r>
    </w:p>
    <w:p w14:paraId="2C7F8277" w14:textId="77777777" w:rsidR="007919FD" w:rsidRPr="007919FD" w:rsidRDefault="007919FD" w:rsidP="007919FD">
      <w:p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r w:rsidRPr="007919FD">
        <w:rPr>
          <w:rFonts w:ascii="Times New Roman" w:eastAsia="Times New Roman" w:hAnsi="Times New Roman" w:cs="Times New Roman"/>
          <w:b/>
          <w:bCs/>
          <w:color w:val="000000"/>
          <w:kern w:val="0"/>
          <w:szCs w:val="24"/>
          <w14:ligatures w14:val="none"/>
        </w:rPr>
        <w:t>7.2 Develop Source-Specific Models</w:t>
      </w:r>
    </w:p>
    <w:p w14:paraId="32BCECAB" w14:textId="77777777" w:rsidR="007919FD" w:rsidRPr="007919FD" w:rsidRDefault="007919FD" w:rsidP="007919FD">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7919FD">
        <w:rPr>
          <w:rFonts w:ascii="Times New Roman" w:eastAsia="Times New Roman" w:hAnsi="Times New Roman" w:cs="Times New Roman"/>
          <w:color w:val="000000"/>
          <w:kern w:val="0"/>
          <w:szCs w:val="24"/>
          <w14:ligatures w14:val="none"/>
        </w:rPr>
        <w:t>Building separate models for each renewable source would provide more nuanced forecasts. Solar and wind show exponential growth that could be modeled with logistic curves accounting for market saturation. Hydroelectric exhibits steady-state patterns requiring approaches that explicitly model capacity constraints. Biomass and geothermal follow intermediate trajectories. These source-specific models could then be combined using multivariate techniques like Vector Autoregression to capture how different technologies interact.</w:t>
      </w:r>
    </w:p>
    <w:p w14:paraId="14D02302" w14:textId="77777777" w:rsidR="007919FD" w:rsidRPr="007919FD" w:rsidRDefault="007919FD" w:rsidP="007919FD">
      <w:p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r w:rsidRPr="007919FD">
        <w:rPr>
          <w:rFonts w:ascii="Times New Roman" w:eastAsia="Times New Roman" w:hAnsi="Times New Roman" w:cs="Times New Roman"/>
          <w:b/>
          <w:bCs/>
          <w:color w:val="000000"/>
          <w:kern w:val="0"/>
          <w:szCs w:val="24"/>
          <w14:ligatures w14:val="none"/>
        </w:rPr>
        <w:t>7.3 Explore Advanced Deep Learning</w:t>
      </w:r>
    </w:p>
    <w:p w14:paraId="0FDBB0C3" w14:textId="77777777" w:rsidR="007919FD" w:rsidRPr="007919FD" w:rsidRDefault="007919FD" w:rsidP="007919FD">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7919FD">
        <w:rPr>
          <w:rFonts w:ascii="Times New Roman" w:eastAsia="Times New Roman" w:hAnsi="Times New Roman" w:cs="Times New Roman"/>
          <w:color w:val="000000"/>
          <w:kern w:val="0"/>
          <w:szCs w:val="24"/>
          <w14:ligatures w14:val="none"/>
        </w:rPr>
        <w:t>While the basic neural network underperformed here (R² = 0.46), more sophisticated architectures deserve exploration. Long Short-Term Memory (LSTM) networks designed for sequential data might better capture long-range dependencies. Transformer models with attention mechanisms could identify which historical periods matter most. However, these approaches need larger datasets than the 613 observations available here. Combining data from multiple countries or using transfer learning could overcome this limitation.</w:t>
      </w:r>
    </w:p>
    <w:p w14:paraId="7A18E2AE" w14:textId="77777777" w:rsidR="007919FD" w:rsidRPr="007919FD" w:rsidRDefault="007919FD" w:rsidP="007919FD">
      <w:p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r w:rsidRPr="007919FD">
        <w:rPr>
          <w:rFonts w:ascii="Times New Roman" w:eastAsia="Times New Roman" w:hAnsi="Times New Roman" w:cs="Times New Roman"/>
          <w:b/>
          <w:bCs/>
          <w:color w:val="000000"/>
          <w:kern w:val="0"/>
          <w:szCs w:val="24"/>
          <w14:ligatures w14:val="none"/>
        </w:rPr>
        <w:t>7.4 Add Regional and Sectoral Detail</w:t>
      </w:r>
    </w:p>
    <w:p w14:paraId="27BD361B" w14:textId="77777777" w:rsidR="007919FD" w:rsidRPr="007919FD" w:rsidRDefault="007919FD" w:rsidP="007919FD">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7919FD">
        <w:rPr>
          <w:rFonts w:ascii="Times New Roman" w:eastAsia="Times New Roman" w:hAnsi="Times New Roman" w:cs="Times New Roman"/>
          <w:color w:val="000000"/>
          <w:kern w:val="0"/>
          <w:szCs w:val="24"/>
          <w14:ligatures w14:val="none"/>
        </w:rPr>
        <w:t>This national-level analysis masks important variations. States like California and Texas lead renewable adoption while others lag due to different policies and resources. Regional models accounting for local conditions, resource availability, and grid infrastructure would provide more actionable state-level insights. Similarly, breaking down consumption by sector (residential, commercial, industrial, transportation) would reveal where renewable penetration is strongest and identify barriers to adoption in specific areas.</w:t>
      </w:r>
    </w:p>
    <w:p w14:paraId="20D17E41" w14:textId="77777777" w:rsidR="007919FD" w:rsidRPr="007919FD" w:rsidRDefault="007919FD" w:rsidP="007919FD">
      <w:p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r w:rsidRPr="007919FD">
        <w:rPr>
          <w:rFonts w:ascii="Times New Roman" w:eastAsia="Times New Roman" w:hAnsi="Times New Roman" w:cs="Times New Roman"/>
          <w:b/>
          <w:bCs/>
          <w:color w:val="000000"/>
          <w:kern w:val="0"/>
          <w:szCs w:val="24"/>
          <w14:ligatures w14:val="none"/>
        </w:rPr>
        <w:lastRenderedPageBreak/>
        <w:t>7.5 Implement Real-Time Updating</w:t>
      </w:r>
    </w:p>
    <w:p w14:paraId="1FE5524A" w14:textId="77777777" w:rsidR="007919FD" w:rsidRPr="007919FD" w:rsidRDefault="007919FD" w:rsidP="007919FD">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7919FD">
        <w:rPr>
          <w:rFonts w:ascii="Times New Roman" w:eastAsia="Times New Roman" w:hAnsi="Times New Roman" w:cs="Times New Roman"/>
          <w:color w:val="000000"/>
          <w:kern w:val="0"/>
          <w:szCs w:val="24"/>
          <w14:ligatures w14:val="none"/>
        </w:rPr>
        <w:t>Deploying these models in production requires automatic updating as new data arrives. Models should retrain monthly using rolling windows to adapt to evolving patterns. Automated monitoring could detect when forecast accuracy degrades and trigger recalibration. Cloud-based deployment with APIs would let stakeholders access updated forecasts continuously and explore scenarios through interactive dashboards.</w:t>
      </w:r>
    </w:p>
    <w:p w14:paraId="3B92B015" w14:textId="77777777" w:rsidR="007919FD" w:rsidRPr="007919FD" w:rsidRDefault="007919FD" w:rsidP="007919FD">
      <w:p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r w:rsidRPr="007919FD">
        <w:rPr>
          <w:rFonts w:ascii="Times New Roman" w:eastAsia="Times New Roman" w:hAnsi="Times New Roman" w:cs="Times New Roman"/>
          <w:b/>
          <w:bCs/>
          <w:color w:val="000000"/>
          <w:kern w:val="0"/>
          <w:szCs w:val="24"/>
          <w14:ligatures w14:val="none"/>
        </w:rPr>
        <w:t>7.6 Enhance Probabilistic Forecasting</w:t>
      </w:r>
    </w:p>
    <w:p w14:paraId="0579EF3F" w14:textId="77777777" w:rsidR="007919FD" w:rsidRPr="007919FD" w:rsidRDefault="007919FD" w:rsidP="007919FD">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7919FD">
        <w:rPr>
          <w:rFonts w:ascii="Times New Roman" w:eastAsia="Times New Roman" w:hAnsi="Times New Roman" w:cs="Times New Roman"/>
          <w:color w:val="000000"/>
          <w:kern w:val="0"/>
          <w:szCs w:val="24"/>
          <w14:ligatures w14:val="none"/>
        </w:rPr>
        <w:t>While this study provides confidence intervals, more sophisticated approaches would improve decision-making. Quantile regression could estimate entire probability distributions (10th, 50th, 90th percentiles) rather than just central tendency. Bayesian methods would formally incorporate prior knowledge and update as new evidence emerges. Monte Carlo simulation could generate forecast distributions accounting for multiple sources of uncertainty, supporting risk-adjusted investment decisions.</w:t>
      </w:r>
    </w:p>
    <w:p w14:paraId="31DC00A8" w14:textId="77777777" w:rsidR="007919FD" w:rsidRPr="007919FD" w:rsidRDefault="007919FD" w:rsidP="007919FD">
      <w:pPr>
        <w:spacing w:before="100" w:beforeAutospacing="1" w:after="100" w:afterAutospacing="1" w:line="240" w:lineRule="auto"/>
        <w:outlineLvl w:val="2"/>
        <w:rPr>
          <w:rFonts w:ascii="Times New Roman" w:eastAsia="Times New Roman" w:hAnsi="Times New Roman" w:cs="Times New Roman"/>
          <w:b/>
          <w:bCs/>
          <w:color w:val="000000"/>
          <w:kern w:val="0"/>
          <w:szCs w:val="24"/>
          <w14:ligatures w14:val="none"/>
        </w:rPr>
      </w:pPr>
      <w:r w:rsidRPr="007919FD">
        <w:rPr>
          <w:rFonts w:ascii="Times New Roman" w:eastAsia="Times New Roman" w:hAnsi="Times New Roman" w:cs="Times New Roman"/>
          <w:b/>
          <w:bCs/>
          <w:color w:val="000000"/>
          <w:kern w:val="0"/>
          <w:szCs w:val="24"/>
          <w14:ligatures w14:val="none"/>
        </w:rPr>
        <w:t>7.7 Apply Causal Methods</w:t>
      </w:r>
    </w:p>
    <w:p w14:paraId="6011EC6B" w14:textId="77777777" w:rsidR="007919FD" w:rsidRPr="00C14A68" w:rsidRDefault="007919FD" w:rsidP="007919FD">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7919FD">
        <w:rPr>
          <w:rFonts w:ascii="Times New Roman" w:eastAsia="Times New Roman" w:hAnsi="Times New Roman" w:cs="Times New Roman"/>
          <w:color w:val="000000"/>
          <w:kern w:val="0"/>
          <w:szCs w:val="24"/>
          <w14:ligatures w14:val="none"/>
        </w:rPr>
        <w:t xml:space="preserve">Moving beyond prediction to causal understanding would inform policy design. Difference-in-differences analysis could evaluate how state renewable portfolio standards affect adoption by comparing states with and without such policies. Synthetic control methods could estimate what would have happened without specific interventions. Instrumental variable approaches could identify causal effects of energy prices on adoption. These methods would strengthen evidence for which policies </w:t>
      </w:r>
      <w:proofErr w:type="gramStart"/>
      <w:r w:rsidRPr="007919FD">
        <w:rPr>
          <w:rFonts w:ascii="Times New Roman" w:eastAsia="Times New Roman" w:hAnsi="Times New Roman" w:cs="Times New Roman"/>
          <w:color w:val="000000"/>
          <w:kern w:val="0"/>
          <w:szCs w:val="24"/>
          <w14:ligatures w14:val="none"/>
        </w:rPr>
        <w:t>actually work</w:t>
      </w:r>
      <w:proofErr w:type="gramEnd"/>
      <w:r w:rsidRPr="007919FD">
        <w:rPr>
          <w:rFonts w:ascii="Times New Roman" w:eastAsia="Times New Roman" w:hAnsi="Times New Roman" w:cs="Times New Roman"/>
          <w:color w:val="000000"/>
          <w:kern w:val="0"/>
          <w:szCs w:val="24"/>
          <w14:ligatures w14:val="none"/>
        </w:rPr>
        <w:t>.</w:t>
      </w:r>
    </w:p>
    <w:p w14:paraId="51BD8584" w14:textId="77777777" w:rsidR="00CA7150" w:rsidRPr="00C14A68" w:rsidRDefault="00CA7150" w:rsidP="007919FD">
      <w:pPr>
        <w:spacing w:before="100" w:beforeAutospacing="1" w:after="100" w:afterAutospacing="1" w:line="240" w:lineRule="auto"/>
        <w:rPr>
          <w:rFonts w:ascii="Times New Roman" w:eastAsia="Times New Roman" w:hAnsi="Times New Roman" w:cs="Times New Roman"/>
          <w:color w:val="000000"/>
          <w:kern w:val="0"/>
          <w:szCs w:val="24"/>
          <w14:ligatures w14:val="none"/>
        </w:rPr>
      </w:pPr>
    </w:p>
    <w:p w14:paraId="22FB3B22" w14:textId="77777777" w:rsidR="00CA7150" w:rsidRPr="00C14A68" w:rsidRDefault="00CA7150" w:rsidP="007919FD">
      <w:pPr>
        <w:spacing w:before="100" w:beforeAutospacing="1" w:after="100" w:afterAutospacing="1" w:line="240" w:lineRule="auto"/>
        <w:rPr>
          <w:rFonts w:ascii="Times New Roman" w:eastAsia="Times New Roman" w:hAnsi="Times New Roman" w:cs="Times New Roman"/>
          <w:color w:val="000000"/>
          <w:kern w:val="0"/>
          <w:szCs w:val="24"/>
          <w14:ligatures w14:val="none"/>
        </w:rPr>
      </w:pPr>
    </w:p>
    <w:p w14:paraId="101934B4" w14:textId="77777777" w:rsidR="00CA7150" w:rsidRPr="00C14A68" w:rsidRDefault="00CA7150" w:rsidP="007919FD">
      <w:pPr>
        <w:spacing w:before="100" w:beforeAutospacing="1" w:after="100" w:afterAutospacing="1" w:line="240" w:lineRule="auto"/>
        <w:rPr>
          <w:rFonts w:ascii="Times New Roman" w:eastAsia="Times New Roman" w:hAnsi="Times New Roman" w:cs="Times New Roman"/>
          <w:color w:val="000000"/>
          <w:kern w:val="0"/>
          <w:szCs w:val="24"/>
          <w14:ligatures w14:val="none"/>
        </w:rPr>
      </w:pPr>
    </w:p>
    <w:p w14:paraId="662DF340" w14:textId="77777777" w:rsidR="00CA7150" w:rsidRPr="00C14A68" w:rsidRDefault="00CA7150" w:rsidP="007919FD">
      <w:pPr>
        <w:spacing w:before="100" w:beforeAutospacing="1" w:after="100" w:afterAutospacing="1" w:line="240" w:lineRule="auto"/>
        <w:rPr>
          <w:rFonts w:ascii="Times New Roman" w:eastAsia="Times New Roman" w:hAnsi="Times New Roman" w:cs="Times New Roman"/>
          <w:color w:val="000000"/>
          <w:kern w:val="0"/>
          <w:szCs w:val="24"/>
          <w14:ligatures w14:val="none"/>
        </w:rPr>
      </w:pPr>
    </w:p>
    <w:p w14:paraId="3EAB2BA9" w14:textId="77777777" w:rsidR="00CA7150" w:rsidRPr="00C14A68" w:rsidRDefault="00CA7150" w:rsidP="007919FD">
      <w:pPr>
        <w:spacing w:before="100" w:beforeAutospacing="1" w:after="100" w:afterAutospacing="1" w:line="240" w:lineRule="auto"/>
        <w:rPr>
          <w:rFonts w:ascii="Times New Roman" w:eastAsia="Times New Roman" w:hAnsi="Times New Roman" w:cs="Times New Roman"/>
          <w:color w:val="000000"/>
          <w:kern w:val="0"/>
          <w:szCs w:val="24"/>
          <w14:ligatures w14:val="none"/>
        </w:rPr>
      </w:pPr>
    </w:p>
    <w:p w14:paraId="49B1F7E2" w14:textId="77777777" w:rsidR="00CA7150" w:rsidRPr="00C14A68" w:rsidRDefault="00CA7150" w:rsidP="007919FD">
      <w:pPr>
        <w:spacing w:before="100" w:beforeAutospacing="1" w:after="100" w:afterAutospacing="1" w:line="240" w:lineRule="auto"/>
        <w:rPr>
          <w:rFonts w:ascii="Times New Roman" w:eastAsia="Times New Roman" w:hAnsi="Times New Roman" w:cs="Times New Roman"/>
          <w:color w:val="000000"/>
          <w:kern w:val="0"/>
          <w:szCs w:val="24"/>
          <w14:ligatures w14:val="none"/>
        </w:rPr>
      </w:pPr>
    </w:p>
    <w:p w14:paraId="7524054E" w14:textId="77777777" w:rsidR="00CA7150" w:rsidRPr="00C14A68" w:rsidRDefault="00CA7150" w:rsidP="007919FD">
      <w:pPr>
        <w:spacing w:before="100" w:beforeAutospacing="1" w:after="100" w:afterAutospacing="1" w:line="240" w:lineRule="auto"/>
        <w:rPr>
          <w:rFonts w:ascii="Times New Roman" w:eastAsia="Times New Roman" w:hAnsi="Times New Roman" w:cs="Times New Roman"/>
          <w:color w:val="000000"/>
          <w:kern w:val="0"/>
          <w:szCs w:val="24"/>
          <w14:ligatures w14:val="none"/>
        </w:rPr>
      </w:pPr>
    </w:p>
    <w:p w14:paraId="6602019B" w14:textId="77777777" w:rsidR="00CA7150" w:rsidRPr="00C14A68" w:rsidRDefault="00CA7150" w:rsidP="007919FD">
      <w:pPr>
        <w:spacing w:before="100" w:beforeAutospacing="1" w:after="100" w:afterAutospacing="1" w:line="240" w:lineRule="auto"/>
        <w:rPr>
          <w:rFonts w:ascii="Times New Roman" w:eastAsia="Times New Roman" w:hAnsi="Times New Roman" w:cs="Times New Roman"/>
          <w:color w:val="000000"/>
          <w:kern w:val="0"/>
          <w:szCs w:val="24"/>
          <w14:ligatures w14:val="none"/>
        </w:rPr>
      </w:pPr>
    </w:p>
    <w:p w14:paraId="275B1A9B" w14:textId="77777777" w:rsidR="00CA7150" w:rsidRPr="007919FD" w:rsidRDefault="00CA7150" w:rsidP="007919FD">
      <w:pPr>
        <w:spacing w:before="100" w:beforeAutospacing="1" w:after="100" w:afterAutospacing="1" w:line="240" w:lineRule="auto"/>
        <w:rPr>
          <w:rFonts w:ascii="Times New Roman" w:eastAsia="Times New Roman" w:hAnsi="Times New Roman" w:cs="Times New Roman"/>
          <w:color w:val="000000"/>
          <w:kern w:val="0"/>
          <w:szCs w:val="24"/>
          <w14:ligatures w14:val="none"/>
        </w:rPr>
      </w:pPr>
    </w:p>
    <w:p w14:paraId="579B2EE7" w14:textId="36B3710D" w:rsidR="007919FD" w:rsidRPr="007919FD" w:rsidRDefault="007919FD" w:rsidP="007919FD">
      <w:pPr>
        <w:spacing w:before="100" w:beforeAutospacing="1" w:after="100" w:afterAutospacing="1" w:line="240" w:lineRule="auto"/>
        <w:rPr>
          <w:rFonts w:ascii="Times New Roman" w:eastAsia="Times New Roman" w:hAnsi="Times New Roman" w:cs="Times New Roman"/>
          <w:color w:val="000000"/>
          <w:kern w:val="0"/>
          <w:szCs w:val="24"/>
          <w14:ligatures w14:val="none"/>
        </w:rPr>
      </w:pPr>
    </w:p>
    <w:p w14:paraId="6D187210" w14:textId="77777777" w:rsidR="00CA7150" w:rsidRPr="00C14A68" w:rsidRDefault="00CA7150" w:rsidP="00CA7150">
      <w:pPr>
        <w:spacing w:before="240" w:after="240"/>
        <w:rPr>
          <w:szCs w:val="24"/>
        </w:rPr>
      </w:pPr>
      <w:r w:rsidRPr="00C14A68">
        <w:rPr>
          <w:b/>
          <w:bCs/>
          <w:szCs w:val="24"/>
        </w:rPr>
        <w:lastRenderedPageBreak/>
        <w:t>8. REFERENCES</w:t>
      </w:r>
    </w:p>
    <w:p w14:paraId="5DDCD422" w14:textId="77777777" w:rsidR="00CA7150" w:rsidRPr="00C14A68" w:rsidRDefault="00CA7150" w:rsidP="00CA7150">
      <w:pPr>
        <w:spacing w:after="120" w:line="480" w:lineRule="auto"/>
        <w:rPr>
          <w:szCs w:val="24"/>
        </w:rPr>
      </w:pPr>
      <w:r w:rsidRPr="00C14A68">
        <w:rPr>
          <w:szCs w:val="24"/>
        </w:rPr>
        <w:t xml:space="preserve">U.S. Energy Information Administration. (2024). </w:t>
      </w:r>
      <w:r w:rsidRPr="00C14A68">
        <w:rPr>
          <w:i/>
          <w:iCs/>
          <w:szCs w:val="24"/>
        </w:rPr>
        <w:t>Monthly Energy Review</w:t>
      </w:r>
      <w:r w:rsidRPr="00C14A68">
        <w:rPr>
          <w:szCs w:val="24"/>
        </w:rPr>
        <w:t>. Washington, DC: U.S. Department of Energy. Retrieved from https://www.eia.gov/totalenergy/data/monthly/</w:t>
      </w:r>
    </w:p>
    <w:p w14:paraId="7BC31402" w14:textId="77777777" w:rsidR="00CA7150" w:rsidRPr="00C14A68" w:rsidRDefault="00CA7150" w:rsidP="00CA7150">
      <w:pPr>
        <w:spacing w:after="120" w:line="480" w:lineRule="auto"/>
        <w:rPr>
          <w:szCs w:val="24"/>
        </w:rPr>
      </w:pPr>
      <w:r w:rsidRPr="00C14A68">
        <w:rPr>
          <w:szCs w:val="24"/>
        </w:rPr>
        <w:t xml:space="preserve">Pedregosa, F., </w:t>
      </w:r>
      <w:proofErr w:type="spellStart"/>
      <w:r w:rsidRPr="00C14A68">
        <w:rPr>
          <w:szCs w:val="24"/>
        </w:rPr>
        <w:t>Varoquaux</w:t>
      </w:r>
      <w:proofErr w:type="spellEnd"/>
      <w:r w:rsidRPr="00C14A68">
        <w:rPr>
          <w:szCs w:val="24"/>
        </w:rPr>
        <w:t xml:space="preserve">, G., </w:t>
      </w:r>
      <w:proofErr w:type="spellStart"/>
      <w:r w:rsidRPr="00C14A68">
        <w:rPr>
          <w:szCs w:val="24"/>
        </w:rPr>
        <w:t>Gramfort</w:t>
      </w:r>
      <w:proofErr w:type="spellEnd"/>
      <w:r w:rsidRPr="00C14A68">
        <w:rPr>
          <w:szCs w:val="24"/>
        </w:rPr>
        <w:t xml:space="preserve">, A., Michel, V., Thirion, B., Grisel, O., Blondel, M., </w:t>
      </w:r>
      <w:proofErr w:type="spellStart"/>
      <w:r w:rsidRPr="00C14A68">
        <w:rPr>
          <w:szCs w:val="24"/>
        </w:rPr>
        <w:t>Prettenhofer</w:t>
      </w:r>
      <w:proofErr w:type="spellEnd"/>
      <w:r w:rsidRPr="00C14A68">
        <w:rPr>
          <w:szCs w:val="24"/>
        </w:rPr>
        <w:t xml:space="preserve">, P., Weiss, R., Dubourg, V., Vanderplas, J., Passos, A., </w:t>
      </w:r>
      <w:proofErr w:type="spellStart"/>
      <w:r w:rsidRPr="00C14A68">
        <w:rPr>
          <w:szCs w:val="24"/>
        </w:rPr>
        <w:t>Cournapeau</w:t>
      </w:r>
      <w:proofErr w:type="spellEnd"/>
      <w:r w:rsidRPr="00C14A68">
        <w:rPr>
          <w:szCs w:val="24"/>
        </w:rPr>
        <w:t xml:space="preserve">, D., Brucher, M., Perrot, M., &amp; Duchesnay, É. (2011). Scikit-learn: Machine learning in Python. </w:t>
      </w:r>
      <w:r w:rsidRPr="00C14A68">
        <w:rPr>
          <w:i/>
          <w:iCs/>
          <w:szCs w:val="24"/>
        </w:rPr>
        <w:t>Journal of Machine Learning Research, 12</w:t>
      </w:r>
      <w:r w:rsidRPr="00C14A68">
        <w:rPr>
          <w:szCs w:val="24"/>
        </w:rPr>
        <w:t>, 2825-2830.</w:t>
      </w:r>
    </w:p>
    <w:p w14:paraId="05E39401" w14:textId="77777777" w:rsidR="00CA7150" w:rsidRPr="00C14A68" w:rsidRDefault="00CA7150" w:rsidP="00CA7150">
      <w:pPr>
        <w:spacing w:after="120" w:line="480" w:lineRule="auto"/>
        <w:rPr>
          <w:szCs w:val="24"/>
        </w:rPr>
      </w:pPr>
      <w:r w:rsidRPr="00C14A68">
        <w:rPr>
          <w:szCs w:val="24"/>
        </w:rPr>
        <w:t xml:space="preserve">Seabold, S., &amp; </w:t>
      </w:r>
      <w:proofErr w:type="spellStart"/>
      <w:r w:rsidRPr="00C14A68">
        <w:rPr>
          <w:szCs w:val="24"/>
        </w:rPr>
        <w:t>Perktold</w:t>
      </w:r>
      <w:proofErr w:type="spellEnd"/>
      <w:r w:rsidRPr="00C14A68">
        <w:rPr>
          <w:szCs w:val="24"/>
        </w:rPr>
        <w:t xml:space="preserve">, J. (2010). </w:t>
      </w:r>
      <w:proofErr w:type="spellStart"/>
      <w:r w:rsidRPr="00C14A68">
        <w:rPr>
          <w:szCs w:val="24"/>
        </w:rPr>
        <w:t>Statsmodels</w:t>
      </w:r>
      <w:proofErr w:type="spellEnd"/>
      <w:r w:rsidRPr="00C14A68">
        <w:rPr>
          <w:szCs w:val="24"/>
        </w:rPr>
        <w:t xml:space="preserve">: Econometric and statistical modeling with Python. </w:t>
      </w:r>
      <w:r w:rsidRPr="00C14A68">
        <w:rPr>
          <w:i/>
          <w:iCs/>
          <w:szCs w:val="24"/>
        </w:rPr>
        <w:t>Proceedings of the 9th Python in Science Conference</w:t>
      </w:r>
      <w:r w:rsidRPr="00C14A68">
        <w:rPr>
          <w:szCs w:val="24"/>
        </w:rPr>
        <w:t>, 92-96.</w:t>
      </w:r>
    </w:p>
    <w:p w14:paraId="06B1A6D6" w14:textId="77777777" w:rsidR="00CA7150" w:rsidRPr="00C14A68" w:rsidRDefault="00CA7150" w:rsidP="00CA7150">
      <w:pPr>
        <w:spacing w:after="120" w:line="480" w:lineRule="auto"/>
        <w:rPr>
          <w:szCs w:val="24"/>
        </w:rPr>
      </w:pPr>
      <w:r w:rsidRPr="00C14A68">
        <w:rPr>
          <w:szCs w:val="24"/>
        </w:rPr>
        <w:t xml:space="preserve">Hyndman, R. J., &amp; Athanasopoulos, G. (2021). </w:t>
      </w:r>
      <w:r w:rsidRPr="00C14A68">
        <w:rPr>
          <w:i/>
          <w:iCs/>
          <w:szCs w:val="24"/>
        </w:rPr>
        <w:t>Forecasting: Principles and Practice</w:t>
      </w:r>
      <w:r w:rsidRPr="00C14A68">
        <w:rPr>
          <w:szCs w:val="24"/>
        </w:rPr>
        <w:t xml:space="preserve"> (3rd ed.). Melbourne: </w:t>
      </w:r>
      <w:proofErr w:type="spellStart"/>
      <w:r w:rsidRPr="00C14A68">
        <w:rPr>
          <w:szCs w:val="24"/>
        </w:rPr>
        <w:t>OTexts</w:t>
      </w:r>
      <w:proofErr w:type="spellEnd"/>
      <w:r w:rsidRPr="00C14A68">
        <w:rPr>
          <w:szCs w:val="24"/>
        </w:rPr>
        <w:t>. Available online at https://otexts.com/fpp3/</w:t>
      </w:r>
    </w:p>
    <w:p w14:paraId="685A0342" w14:textId="77777777" w:rsidR="00CA7150" w:rsidRPr="00C14A68" w:rsidRDefault="00CA7150" w:rsidP="00CA7150">
      <w:pPr>
        <w:spacing w:after="120" w:line="480" w:lineRule="auto"/>
        <w:rPr>
          <w:szCs w:val="24"/>
        </w:rPr>
      </w:pPr>
      <w:r w:rsidRPr="00C14A68">
        <w:rPr>
          <w:szCs w:val="24"/>
        </w:rPr>
        <w:t xml:space="preserve">Box, G. E., Jenkins, G. M., Reinsel, G. C., &amp; Ljung, G. M. (2015). </w:t>
      </w:r>
      <w:r w:rsidRPr="00C14A68">
        <w:rPr>
          <w:i/>
          <w:iCs/>
          <w:szCs w:val="24"/>
        </w:rPr>
        <w:t>Time Series Analysis: Forecasting and Control</w:t>
      </w:r>
      <w:r w:rsidRPr="00C14A68">
        <w:rPr>
          <w:szCs w:val="24"/>
        </w:rPr>
        <w:t xml:space="preserve"> (5th ed.). Hoboken, NJ: John Wiley &amp; Sons.</w:t>
      </w:r>
    </w:p>
    <w:p w14:paraId="603BD88F" w14:textId="77777777" w:rsidR="00CA7150" w:rsidRPr="00C14A68" w:rsidRDefault="00CA7150" w:rsidP="00CA7150">
      <w:pPr>
        <w:spacing w:after="120" w:line="480" w:lineRule="auto"/>
        <w:rPr>
          <w:szCs w:val="24"/>
        </w:rPr>
      </w:pPr>
      <w:r w:rsidRPr="00C14A68">
        <w:rPr>
          <w:szCs w:val="24"/>
        </w:rPr>
        <w:t xml:space="preserve">Hastie, T., </w:t>
      </w:r>
      <w:proofErr w:type="spellStart"/>
      <w:r w:rsidRPr="00C14A68">
        <w:rPr>
          <w:szCs w:val="24"/>
        </w:rPr>
        <w:t>Tibshirani</w:t>
      </w:r>
      <w:proofErr w:type="spellEnd"/>
      <w:r w:rsidRPr="00C14A68">
        <w:rPr>
          <w:szCs w:val="24"/>
        </w:rPr>
        <w:t xml:space="preserve">, R., &amp; Friedman, J. (2009). </w:t>
      </w:r>
      <w:r w:rsidRPr="00C14A68">
        <w:rPr>
          <w:i/>
          <w:iCs/>
          <w:szCs w:val="24"/>
        </w:rPr>
        <w:t>The Elements of Statistical Learning: Data Mining, Inference, and Prediction</w:t>
      </w:r>
      <w:r w:rsidRPr="00C14A68">
        <w:rPr>
          <w:szCs w:val="24"/>
        </w:rPr>
        <w:t xml:space="preserve"> (2nd ed.). New York: Springer.</w:t>
      </w:r>
    </w:p>
    <w:p w14:paraId="72EFE121" w14:textId="77777777" w:rsidR="00CA7150" w:rsidRPr="00C14A68" w:rsidRDefault="00CA7150" w:rsidP="00CA7150">
      <w:pPr>
        <w:spacing w:after="120" w:line="480" w:lineRule="auto"/>
        <w:rPr>
          <w:szCs w:val="24"/>
        </w:rPr>
      </w:pPr>
      <w:proofErr w:type="spellStart"/>
      <w:r w:rsidRPr="00C14A68">
        <w:rPr>
          <w:szCs w:val="24"/>
        </w:rPr>
        <w:t>Breiman</w:t>
      </w:r>
      <w:proofErr w:type="spellEnd"/>
      <w:r w:rsidRPr="00C14A68">
        <w:rPr>
          <w:szCs w:val="24"/>
        </w:rPr>
        <w:t xml:space="preserve">, L. (2001). Random forests. </w:t>
      </w:r>
      <w:r w:rsidRPr="00C14A68">
        <w:rPr>
          <w:i/>
          <w:iCs/>
          <w:szCs w:val="24"/>
        </w:rPr>
        <w:t>Machine Learning, 45</w:t>
      </w:r>
      <w:r w:rsidRPr="00C14A68">
        <w:rPr>
          <w:szCs w:val="24"/>
        </w:rPr>
        <w:t>(1), 5-32. https://doi.org/10.1023/A:1010933404324</w:t>
      </w:r>
    </w:p>
    <w:p w14:paraId="779CA080" w14:textId="77777777" w:rsidR="00CA7150" w:rsidRPr="00C14A68" w:rsidRDefault="00CA7150" w:rsidP="00CA7150">
      <w:pPr>
        <w:spacing w:after="120" w:line="480" w:lineRule="auto"/>
        <w:rPr>
          <w:szCs w:val="24"/>
        </w:rPr>
      </w:pPr>
      <w:r w:rsidRPr="00C14A68">
        <w:rPr>
          <w:szCs w:val="24"/>
        </w:rPr>
        <w:t xml:space="preserve">Friedman, J. H. (2001). Greedy function approximation: A gradient boosting machine. </w:t>
      </w:r>
      <w:r w:rsidRPr="00C14A68">
        <w:rPr>
          <w:i/>
          <w:iCs/>
          <w:szCs w:val="24"/>
        </w:rPr>
        <w:t>Annals of Statistics, 29</w:t>
      </w:r>
      <w:r w:rsidRPr="00C14A68">
        <w:rPr>
          <w:szCs w:val="24"/>
        </w:rPr>
        <w:t>(5), 1189-1232. https://doi.org/10.1214/aos/1013203451</w:t>
      </w:r>
    </w:p>
    <w:p w14:paraId="4EC655E5" w14:textId="77777777" w:rsidR="00CA7150" w:rsidRPr="00C14A68" w:rsidRDefault="00CA7150" w:rsidP="00CA7150">
      <w:pPr>
        <w:spacing w:after="120" w:line="480" w:lineRule="auto"/>
        <w:rPr>
          <w:szCs w:val="24"/>
        </w:rPr>
      </w:pPr>
      <w:proofErr w:type="spellStart"/>
      <w:r w:rsidRPr="00C14A68">
        <w:rPr>
          <w:szCs w:val="24"/>
        </w:rPr>
        <w:t>Vapnik</w:t>
      </w:r>
      <w:proofErr w:type="spellEnd"/>
      <w:r w:rsidRPr="00C14A68">
        <w:rPr>
          <w:szCs w:val="24"/>
        </w:rPr>
        <w:t xml:space="preserve">, V. N. (1995). </w:t>
      </w:r>
      <w:r w:rsidRPr="00C14A68">
        <w:rPr>
          <w:i/>
          <w:iCs/>
          <w:szCs w:val="24"/>
        </w:rPr>
        <w:t>The Nature of Statistical Learning Theory</w:t>
      </w:r>
      <w:r w:rsidRPr="00C14A68">
        <w:rPr>
          <w:szCs w:val="24"/>
        </w:rPr>
        <w:t>. New York: Springer-Verlag.</w:t>
      </w:r>
    </w:p>
    <w:p w14:paraId="3129386F" w14:textId="4C38E3C3" w:rsidR="00366775" w:rsidRPr="00366775" w:rsidRDefault="00366775" w:rsidP="00366775">
      <w:pPr>
        <w:spacing w:after="0" w:line="240" w:lineRule="auto"/>
        <w:rPr>
          <w:rFonts w:ascii="Times New Roman" w:eastAsia="Times New Roman" w:hAnsi="Times New Roman" w:cs="Times New Roman"/>
          <w:kern w:val="0"/>
          <w:szCs w:val="24"/>
          <w14:ligatures w14:val="none"/>
        </w:rPr>
      </w:pPr>
    </w:p>
    <w:p w14:paraId="7CCD24F1" w14:textId="77777777" w:rsidR="00090FCE" w:rsidRPr="00090FCE" w:rsidRDefault="00090FCE" w:rsidP="00090FCE">
      <w:pPr>
        <w:spacing w:before="100" w:beforeAutospacing="1" w:after="100" w:afterAutospacing="1" w:line="240" w:lineRule="auto"/>
        <w:jc w:val="center"/>
        <w:rPr>
          <w:rFonts w:ascii="Times New Roman" w:eastAsia="Times New Roman" w:hAnsi="Times New Roman" w:cs="Times New Roman"/>
          <w:color w:val="000000"/>
          <w:kern w:val="0"/>
          <w:szCs w:val="24"/>
          <w14:ligatures w14:val="none"/>
        </w:rPr>
      </w:pPr>
    </w:p>
    <w:p w14:paraId="73B9765B" w14:textId="77777777" w:rsidR="00CA7150" w:rsidRPr="00C14A68" w:rsidRDefault="00CA7150" w:rsidP="00CA7150">
      <w:pPr>
        <w:spacing w:before="240" w:after="240"/>
        <w:rPr>
          <w:szCs w:val="24"/>
        </w:rPr>
      </w:pPr>
      <w:r w:rsidRPr="00C14A68">
        <w:rPr>
          <w:b/>
          <w:bCs/>
          <w:szCs w:val="24"/>
        </w:rPr>
        <w:t>9. APPENDICES</w:t>
      </w:r>
    </w:p>
    <w:p w14:paraId="2CFE6F58" w14:textId="77777777" w:rsidR="00CA7150" w:rsidRPr="00C14A68" w:rsidRDefault="00CA7150" w:rsidP="00CA7150">
      <w:pPr>
        <w:spacing w:before="200" w:after="120"/>
        <w:rPr>
          <w:szCs w:val="24"/>
        </w:rPr>
      </w:pPr>
      <w:r w:rsidRPr="00C14A68">
        <w:rPr>
          <w:b/>
          <w:bCs/>
          <w:szCs w:val="24"/>
        </w:rPr>
        <w:t>Appendix A: Complete Model Performance Metrics</w:t>
      </w:r>
    </w:p>
    <w:p w14:paraId="38025BE9" w14:textId="77777777" w:rsidR="00CA7150" w:rsidRPr="00C14A68" w:rsidRDefault="00CA7150" w:rsidP="00CA7150">
      <w:pPr>
        <w:spacing w:after="240" w:line="480" w:lineRule="auto"/>
        <w:rPr>
          <w:szCs w:val="24"/>
        </w:rPr>
      </w:pPr>
      <w:r w:rsidRPr="00C14A68">
        <w:rPr>
          <w:szCs w:val="24"/>
        </w:rPr>
        <w:t>The following table presents comprehensive performance metrics for all six models evaluated in this study, sorted by R² score (best to worst):</w:t>
      </w:r>
    </w:p>
    <w:p w14:paraId="4AAD6CEC" w14:textId="617D4E2B" w:rsidR="00CA7150" w:rsidRPr="00C14A68" w:rsidRDefault="00CA7150" w:rsidP="00CA7150">
      <w:pPr>
        <w:spacing w:after="240" w:line="480" w:lineRule="auto"/>
        <w:rPr>
          <w:i/>
          <w:iCs/>
          <w:szCs w:val="24"/>
        </w:rPr>
      </w:pPr>
      <w:r w:rsidRPr="00C14A68">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F9E3547" wp14:editId="4AB86C87">
            <wp:extent cx="5943600" cy="1731645"/>
            <wp:effectExtent l="0" t="0" r="0" b="0"/>
            <wp:docPr id="61302843" name="Picture 1" descr="A table with numbers and a few dig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2843" name="Picture 1" descr="A table with numbers and a few digits&#10;&#10;AI-generated content may be incorrect."/>
                    <pic:cNvPicPr/>
                  </pic:nvPicPr>
                  <pic:blipFill>
                    <a:blip r:embed="rId24"/>
                    <a:stretch>
                      <a:fillRect/>
                    </a:stretch>
                  </pic:blipFill>
                  <pic:spPr>
                    <a:xfrm>
                      <a:off x="0" y="0"/>
                      <a:ext cx="5943600" cy="1731645"/>
                    </a:xfrm>
                    <a:prstGeom prst="rect">
                      <a:avLst/>
                    </a:prstGeom>
                  </pic:spPr>
                </pic:pic>
              </a:graphicData>
            </a:graphic>
          </wp:inline>
        </w:drawing>
      </w:r>
      <w:r w:rsidRPr="00C14A68">
        <w:rPr>
          <w:i/>
          <w:iCs/>
          <w:szCs w:val="24"/>
        </w:rPr>
        <w:t xml:space="preserve"> </w:t>
      </w:r>
      <w:r w:rsidRPr="00C14A68">
        <w:rPr>
          <w:i/>
          <w:iCs/>
          <w:szCs w:val="24"/>
        </w:rPr>
        <w:t>Note: Negative R² for SVR indicates predictions worse than simply predicting the mean value. All metrics calculated on test set (2020-2024, n=49 observations).</w:t>
      </w:r>
    </w:p>
    <w:p w14:paraId="107916FC" w14:textId="77777777" w:rsidR="00CA7150" w:rsidRPr="00C14A68" w:rsidRDefault="00CA7150" w:rsidP="00CA7150">
      <w:pPr>
        <w:spacing w:before="200" w:after="120"/>
        <w:rPr>
          <w:szCs w:val="24"/>
        </w:rPr>
      </w:pPr>
      <w:r w:rsidRPr="00C14A68">
        <w:rPr>
          <w:b/>
          <w:bCs/>
          <w:szCs w:val="24"/>
        </w:rPr>
        <w:t>Appendix B: Five-Year Forecast Details</w:t>
      </w:r>
    </w:p>
    <w:p w14:paraId="107383C9" w14:textId="77777777" w:rsidR="00CA7150" w:rsidRPr="00C14A68" w:rsidRDefault="00CA7150" w:rsidP="00CA7150">
      <w:pPr>
        <w:spacing w:after="240" w:line="480" w:lineRule="auto"/>
        <w:rPr>
          <w:szCs w:val="24"/>
        </w:rPr>
      </w:pPr>
      <w:r w:rsidRPr="00C14A68">
        <w:rPr>
          <w:szCs w:val="24"/>
        </w:rPr>
        <w:t>Annual forecast values (in trillion BTUs) for 2024-2029 by model:</w:t>
      </w:r>
    </w:p>
    <w:p w14:paraId="4224951B" w14:textId="686B4DB2" w:rsidR="00CA7150" w:rsidRPr="00C14A68" w:rsidRDefault="00CA7150" w:rsidP="00CA7150">
      <w:pPr>
        <w:spacing w:after="240" w:line="480" w:lineRule="auto"/>
        <w:rPr>
          <w:szCs w:val="24"/>
        </w:rPr>
      </w:pPr>
      <w:r w:rsidRPr="00C14A68">
        <w:rPr>
          <w:szCs w:val="24"/>
        </w:rPr>
        <w:drawing>
          <wp:inline distT="0" distB="0" distL="0" distR="0" wp14:anchorId="779087F8" wp14:editId="79747541">
            <wp:extent cx="5591908" cy="2096966"/>
            <wp:effectExtent l="0" t="0" r="0" b="0"/>
            <wp:docPr id="18414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7286" name=""/>
                    <pic:cNvPicPr/>
                  </pic:nvPicPr>
                  <pic:blipFill>
                    <a:blip r:embed="rId25"/>
                    <a:stretch>
                      <a:fillRect/>
                    </a:stretch>
                  </pic:blipFill>
                  <pic:spPr>
                    <a:xfrm>
                      <a:off x="0" y="0"/>
                      <a:ext cx="5621228" cy="2107961"/>
                    </a:xfrm>
                    <a:prstGeom prst="rect">
                      <a:avLst/>
                    </a:prstGeom>
                  </pic:spPr>
                </pic:pic>
              </a:graphicData>
            </a:graphic>
          </wp:inline>
        </w:drawing>
      </w:r>
    </w:p>
    <w:p w14:paraId="73FD0A07" w14:textId="77777777" w:rsidR="00865207" w:rsidRPr="00C14A68" w:rsidRDefault="00865207" w:rsidP="00865207">
      <w:pPr>
        <w:spacing w:before="200" w:after="120"/>
        <w:rPr>
          <w:szCs w:val="24"/>
        </w:rPr>
      </w:pPr>
      <w:r w:rsidRPr="00C14A68">
        <w:rPr>
          <w:b/>
          <w:bCs/>
          <w:szCs w:val="24"/>
        </w:rPr>
        <w:lastRenderedPageBreak/>
        <w:t>Appendix C: Feature Engineering Specifications</w:t>
      </w:r>
    </w:p>
    <w:p w14:paraId="4D7695A5" w14:textId="77777777" w:rsidR="00865207" w:rsidRPr="00C14A68" w:rsidRDefault="00865207" w:rsidP="00865207">
      <w:pPr>
        <w:spacing w:after="240" w:line="480" w:lineRule="auto"/>
        <w:rPr>
          <w:szCs w:val="24"/>
        </w:rPr>
      </w:pPr>
      <w:r w:rsidRPr="00C14A68">
        <w:rPr>
          <w:szCs w:val="24"/>
        </w:rPr>
        <w:t>Complete list of 15 engineered features with descriptions:</w:t>
      </w:r>
    </w:p>
    <w:p w14:paraId="300D2056" w14:textId="7811DB35" w:rsidR="00865207" w:rsidRPr="00C14A68" w:rsidRDefault="00865207" w:rsidP="00865207">
      <w:pPr>
        <w:spacing w:after="240" w:line="480" w:lineRule="auto"/>
        <w:rPr>
          <w:szCs w:val="24"/>
        </w:rPr>
      </w:pPr>
      <w:r w:rsidRPr="00C14A68">
        <w:rPr>
          <w:szCs w:val="24"/>
        </w:rPr>
        <w:drawing>
          <wp:inline distT="0" distB="0" distL="0" distR="0" wp14:anchorId="60136DDF" wp14:editId="771214B8">
            <wp:extent cx="4610100" cy="5321300"/>
            <wp:effectExtent l="0" t="0" r="0" b="0"/>
            <wp:docPr id="1274720936"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20936" name="Picture 1" descr="A screenshot of a table&#10;&#10;AI-generated content may be incorrect."/>
                    <pic:cNvPicPr/>
                  </pic:nvPicPr>
                  <pic:blipFill>
                    <a:blip r:embed="rId26"/>
                    <a:stretch>
                      <a:fillRect/>
                    </a:stretch>
                  </pic:blipFill>
                  <pic:spPr>
                    <a:xfrm>
                      <a:off x="0" y="0"/>
                      <a:ext cx="4610100" cy="5321300"/>
                    </a:xfrm>
                    <a:prstGeom prst="rect">
                      <a:avLst/>
                    </a:prstGeom>
                  </pic:spPr>
                </pic:pic>
              </a:graphicData>
            </a:graphic>
          </wp:inline>
        </w:drawing>
      </w:r>
    </w:p>
    <w:p w14:paraId="2A82B8EC" w14:textId="77777777" w:rsidR="00865207" w:rsidRPr="00C14A68" w:rsidRDefault="00865207" w:rsidP="00CA7150">
      <w:pPr>
        <w:spacing w:after="240" w:line="480" w:lineRule="auto"/>
        <w:rPr>
          <w:szCs w:val="24"/>
        </w:rPr>
      </w:pPr>
    </w:p>
    <w:p w14:paraId="528B0EF6" w14:textId="7A386B67" w:rsidR="00485F16" w:rsidRPr="00C14A68" w:rsidRDefault="00485F16" w:rsidP="00485F16">
      <w:pPr>
        <w:spacing w:after="240" w:line="480" w:lineRule="auto"/>
        <w:jc w:val="center"/>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08FE92" w14:textId="77777777" w:rsidR="00485F16" w:rsidRPr="00C14A68" w:rsidRDefault="00485F16" w:rsidP="00485F16">
      <w:pPr>
        <w:spacing w:after="240" w:line="480" w:lineRule="auto"/>
        <w:jc w:val="center"/>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C6A122" w14:textId="77777777" w:rsidR="001017F8" w:rsidRPr="00C14A68" w:rsidRDefault="001017F8" w:rsidP="00485F16">
      <w:pPr>
        <w:spacing w:after="240" w:line="480" w:lineRule="auto"/>
        <w:jc w:val="center"/>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301BC7" w14:textId="2357B569" w:rsidR="00485F16" w:rsidRPr="00C14A68" w:rsidRDefault="00485F16" w:rsidP="00485F16">
      <w:pPr>
        <w:spacing w:after="240" w:line="480" w:lineRule="auto"/>
        <w:jc w:val="center"/>
        <w:rPr>
          <w:szCs w:val="24"/>
        </w:rPr>
      </w:pPr>
    </w:p>
    <w:p w14:paraId="27FDB27A" w14:textId="1627A6BE" w:rsidR="00485F16" w:rsidRPr="00C14A68" w:rsidRDefault="00485F16" w:rsidP="00485F16">
      <w:pPr>
        <w:spacing w:after="240" w:line="480" w:lineRule="auto"/>
        <w:jc w:val="center"/>
        <w:rPr>
          <w:rFonts w:ascii="Calibri" w:hAnsi="Calibri" w:cs="Calibr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FFE807" w14:textId="77777777" w:rsidR="00485F16" w:rsidRPr="00C14A68" w:rsidRDefault="00485F16" w:rsidP="009E320B">
      <w:pPr>
        <w:spacing w:after="240" w:line="480" w:lineRule="auto"/>
        <w:jc w:val="center"/>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C75D84" w14:textId="2B461388" w:rsidR="00ED7D24" w:rsidRPr="00C14A68" w:rsidRDefault="00ED7D24" w:rsidP="00B44E6E">
      <w:pPr>
        <w:spacing w:after="600"/>
        <w:rPr>
          <w:rFonts w:ascii="Calibri" w:hAnsi="Calibri" w:cs="Calibri"/>
          <w:szCs w:val="24"/>
        </w:rPr>
      </w:pPr>
    </w:p>
    <w:p w14:paraId="24B5F1C8" w14:textId="6BFE282E" w:rsidR="00B44E6E" w:rsidRPr="00C14A68" w:rsidRDefault="00B44E6E">
      <w:pPr>
        <w:rPr>
          <w:rFonts w:ascii="Calibri" w:hAnsi="Calibri" w:cs="Calibri"/>
          <w:szCs w:val="24"/>
        </w:rPr>
      </w:pPr>
    </w:p>
    <w:sectPr w:rsidR="00B44E6E" w:rsidRPr="00C14A68">
      <w:footerReference w:type="even"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D2AAB" w14:textId="77777777" w:rsidR="00A52A21" w:rsidRDefault="00A52A21" w:rsidP="00674A86">
      <w:pPr>
        <w:spacing w:after="0" w:line="240" w:lineRule="auto"/>
      </w:pPr>
      <w:r>
        <w:separator/>
      </w:r>
    </w:p>
  </w:endnote>
  <w:endnote w:type="continuationSeparator" w:id="0">
    <w:p w14:paraId="79B45AAC" w14:textId="77777777" w:rsidR="00A52A21" w:rsidRDefault="00A52A21" w:rsidP="00674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86826306"/>
      <w:docPartObj>
        <w:docPartGallery w:val="Page Numbers (Bottom of Page)"/>
        <w:docPartUnique/>
      </w:docPartObj>
    </w:sdtPr>
    <w:sdtContent>
      <w:p w14:paraId="2231B788" w14:textId="78599FB9" w:rsidR="00674A86" w:rsidRDefault="00674A86" w:rsidP="009549E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39ABC2C" w14:textId="77777777" w:rsidR="00674A86" w:rsidRDefault="00674A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280136"/>
      <w:docPartObj>
        <w:docPartGallery w:val="Page Numbers (Bottom of Page)"/>
        <w:docPartUnique/>
      </w:docPartObj>
    </w:sdtPr>
    <w:sdtContent>
      <w:p w14:paraId="53246C2D" w14:textId="74EBCA2C" w:rsidR="00674A86" w:rsidRDefault="00674A86" w:rsidP="009549E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81AB1D1" w14:textId="77777777" w:rsidR="00674A86" w:rsidRDefault="00674A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0F207" w14:textId="77777777" w:rsidR="00A52A21" w:rsidRDefault="00A52A21" w:rsidP="00674A86">
      <w:pPr>
        <w:spacing w:after="0" w:line="240" w:lineRule="auto"/>
      </w:pPr>
      <w:r>
        <w:separator/>
      </w:r>
    </w:p>
  </w:footnote>
  <w:footnote w:type="continuationSeparator" w:id="0">
    <w:p w14:paraId="682ABD8B" w14:textId="77777777" w:rsidR="00A52A21" w:rsidRDefault="00A52A21" w:rsidP="00674A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32EF"/>
    <w:multiLevelType w:val="multilevel"/>
    <w:tmpl w:val="6B0AF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454AED"/>
    <w:multiLevelType w:val="multilevel"/>
    <w:tmpl w:val="93D039F4"/>
    <w:lvl w:ilvl="0">
      <w:start w:val="1"/>
      <w:numFmt w:val="decimal"/>
      <w:lvlText w:val="%1."/>
      <w:lvlJc w:val="left"/>
      <w:pPr>
        <w:ind w:left="720" w:hanging="360"/>
      </w:pPr>
      <w:rPr>
        <w:rFonts w:hint="default"/>
      </w:rPr>
    </w:lvl>
    <w:lvl w:ilvl="1">
      <w:start w:val="1"/>
      <w:numFmt w:val="decimal"/>
      <w:isLgl/>
      <w:lvlText w:val="%1.%2"/>
      <w:lvlJc w:val="left"/>
      <w:pPr>
        <w:ind w:left="990" w:hanging="360"/>
      </w:pPr>
      <w:rPr>
        <w:rFonts w:hint="default"/>
      </w:rPr>
    </w:lvl>
    <w:lvl w:ilvl="2">
      <w:start w:val="1"/>
      <w:numFmt w:val="decimal"/>
      <w:isLgl/>
      <w:lvlText w:val="%1.%2.%3"/>
      <w:lvlJc w:val="left"/>
      <w:pPr>
        <w:ind w:left="1920" w:hanging="720"/>
      </w:pPr>
      <w:rPr>
        <w:rFonts w:hint="default"/>
      </w:rPr>
    </w:lvl>
    <w:lvl w:ilvl="3">
      <w:start w:val="1"/>
      <w:numFmt w:val="decimal"/>
      <w:isLgl/>
      <w:lvlText w:val="%1.%2.%3.%4"/>
      <w:lvlJc w:val="left"/>
      <w:pPr>
        <w:ind w:left="2340" w:hanging="720"/>
      </w:pPr>
      <w:rPr>
        <w:rFonts w:hint="default"/>
      </w:rPr>
    </w:lvl>
    <w:lvl w:ilvl="4">
      <w:start w:val="1"/>
      <w:numFmt w:val="decimal"/>
      <w:isLgl/>
      <w:lvlText w:val="%1.%2.%3.%4.%5"/>
      <w:lvlJc w:val="left"/>
      <w:pPr>
        <w:ind w:left="3120" w:hanging="1080"/>
      </w:pPr>
      <w:rPr>
        <w:rFonts w:hint="default"/>
      </w:rPr>
    </w:lvl>
    <w:lvl w:ilvl="5">
      <w:start w:val="1"/>
      <w:numFmt w:val="decimal"/>
      <w:isLgl/>
      <w:lvlText w:val="%1.%2.%3.%4.%5.%6"/>
      <w:lvlJc w:val="left"/>
      <w:pPr>
        <w:ind w:left="354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740" w:hanging="1440"/>
      </w:pPr>
      <w:rPr>
        <w:rFonts w:hint="default"/>
      </w:rPr>
    </w:lvl>
    <w:lvl w:ilvl="8">
      <w:start w:val="1"/>
      <w:numFmt w:val="decimal"/>
      <w:isLgl/>
      <w:lvlText w:val="%1.%2.%3.%4.%5.%6.%7.%8.%9"/>
      <w:lvlJc w:val="left"/>
      <w:pPr>
        <w:ind w:left="5520" w:hanging="1800"/>
      </w:pPr>
      <w:rPr>
        <w:rFonts w:hint="default"/>
      </w:rPr>
    </w:lvl>
  </w:abstractNum>
  <w:abstractNum w:abstractNumId="2" w15:restartNumberingAfterBreak="0">
    <w:nsid w:val="260F4574"/>
    <w:multiLevelType w:val="multilevel"/>
    <w:tmpl w:val="4E40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3254A"/>
    <w:multiLevelType w:val="multilevel"/>
    <w:tmpl w:val="829E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E47593"/>
    <w:multiLevelType w:val="multilevel"/>
    <w:tmpl w:val="D60C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01578">
    <w:abstractNumId w:val="3"/>
  </w:num>
  <w:num w:numId="2" w16cid:durableId="2065248090">
    <w:abstractNumId w:val="4"/>
  </w:num>
  <w:num w:numId="3" w16cid:durableId="602029087">
    <w:abstractNumId w:val="0"/>
  </w:num>
  <w:num w:numId="4" w16cid:durableId="1672874287">
    <w:abstractNumId w:val="2"/>
  </w:num>
  <w:num w:numId="5" w16cid:durableId="1354185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E6E"/>
    <w:rsid w:val="00022A34"/>
    <w:rsid w:val="00076260"/>
    <w:rsid w:val="00090FCE"/>
    <w:rsid w:val="001017F8"/>
    <w:rsid w:val="00326AA4"/>
    <w:rsid w:val="00366775"/>
    <w:rsid w:val="00432166"/>
    <w:rsid w:val="00485F16"/>
    <w:rsid w:val="005D5913"/>
    <w:rsid w:val="00674A86"/>
    <w:rsid w:val="007919FD"/>
    <w:rsid w:val="00792442"/>
    <w:rsid w:val="007A2C78"/>
    <w:rsid w:val="007B50E5"/>
    <w:rsid w:val="00865207"/>
    <w:rsid w:val="008D11D2"/>
    <w:rsid w:val="00912F5A"/>
    <w:rsid w:val="009E320B"/>
    <w:rsid w:val="009E5098"/>
    <w:rsid w:val="00A52A21"/>
    <w:rsid w:val="00B44E6E"/>
    <w:rsid w:val="00B6050E"/>
    <w:rsid w:val="00C01776"/>
    <w:rsid w:val="00C14A68"/>
    <w:rsid w:val="00C77BF7"/>
    <w:rsid w:val="00CA7150"/>
    <w:rsid w:val="00ED7D2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A4488"/>
  <w15:chartTrackingRefBased/>
  <w15:docId w15:val="{D4E2F393-A8AD-0A48-AD20-ED15A97D3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B44E6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B44E6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B44E6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B44E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E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E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E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E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E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E6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B44E6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B44E6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B44E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E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E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E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E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E6E"/>
    <w:rPr>
      <w:rFonts w:eastAsiaTheme="majorEastAsia" w:cstheme="majorBidi"/>
      <w:color w:val="272727" w:themeColor="text1" w:themeTint="D8"/>
    </w:rPr>
  </w:style>
  <w:style w:type="paragraph" w:styleId="Title">
    <w:name w:val="Title"/>
    <w:basedOn w:val="Normal"/>
    <w:next w:val="Normal"/>
    <w:link w:val="TitleChar"/>
    <w:uiPriority w:val="10"/>
    <w:qFormat/>
    <w:rsid w:val="00B44E6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44E6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44E6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44E6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44E6E"/>
    <w:pPr>
      <w:spacing w:before="160"/>
      <w:jc w:val="center"/>
    </w:pPr>
    <w:rPr>
      <w:i/>
      <w:iCs/>
      <w:color w:val="404040" w:themeColor="text1" w:themeTint="BF"/>
    </w:rPr>
  </w:style>
  <w:style w:type="character" w:customStyle="1" w:styleId="QuoteChar">
    <w:name w:val="Quote Char"/>
    <w:basedOn w:val="DefaultParagraphFont"/>
    <w:link w:val="Quote"/>
    <w:uiPriority w:val="29"/>
    <w:rsid w:val="00B44E6E"/>
    <w:rPr>
      <w:rFonts w:cs="Angsana New"/>
      <w:i/>
      <w:iCs/>
      <w:color w:val="404040" w:themeColor="text1" w:themeTint="BF"/>
    </w:rPr>
  </w:style>
  <w:style w:type="paragraph" w:styleId="ListParagraph">
    <w:name w:val="List Paragraph"/>
    <w:basedOn w:val="Normal"/>
    <w:uiPriority w:val="34"/>
    <w:qFormat/>
    <w:rsid w:val="00B44E6E"/>
    <w:pPr>
      <w:ind w:left="720"/>
      <w:contextualSpacing/>
    </w:pPr>
  </w:style>
  <w:style w:type="character" w:styleId="IntenseEmphasis">
    <w:name w:val="Intense Emphasis"/>
    <w:basedOn w:val="DefaultParagraphFont"/>
    <w:uiPriority w:val="21"/>
    <w:qFormat/>
    <w:rsid w:val="00B44E6E"/>
    <w:rPr>
      <w:i/>
      <w:iCs/>
      <w:color w:val="0F4761" w:themeColor="accent1" w:themeShade="BF"/>
    </w:rPr>
  </w:style>
  <w:style w:type="paragraph" w:styleId="IntenseQuote">
    <w:name w:val="Intense Quote"/>
    <w:basedOn w:val="Normal"/>
    <w:next w:val="Normal"/>
    <w:link w:val="IntenseQuoteChar"/>
    <w:uiPriority w:val="30"/>
    <w:qFormat/>
    <w:rsid w:val="00B44E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E6E"/>
    <w:rPr>
      <w:rFonts w:cs="Angsana New"/>
      <w:i/>
      <w:iCs/>
      <w:color w:val="0F4761" w:themeColor="accent1" w:themeShade="BF"/>
    </w:rPr>
  </w:style>
  <w:style w:type="character" w:styleId="IntenseReference">
    <w:name w:val="Intense Reference"/>
    <w:basedOn w:val="DefaultParagraphFont"/>
    <w:uiPriority w:val="32"/>
    <w:qFormat/>
    <w:rsid w:val="00B44E6E"/>
    <w:rPr>
      <w:b/>
      <w:bCs/>
      <w:smallCaps/>
      <w:color w:val="0F4761" w:themeColor="accent1" w:themeShade="BF"/>
      <w:spacing w:val="5"/>
    </w:rPr>
  </w:style>
  <w:style w:type="paragraph" w:customStyle="1" w:styleId="font-claude-response-body">
    <w:name w:val="font-claude-response-body"/>
    <w:basedOn w:val="Normal"/>
    <w:rsid w:val="007A2C78"/>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7A2C78"/>
    <w:rPr>
      <w:b/>
      <w:bCs/>
    </w:rPr>
  </w:style>
  <w:style w:type="paragraph" w:styleId="Footer">
    <w:name w:val="footer"/>
    <w:basedOn w:val="Normal"/>
    <w:link w:val="FooterChar"/>
    <w:uiPriority w:val="99"/>
    <w:unhideWhenUsed/>
    <w:rsid w:val="00674A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4A86"/>
    <w:rPr>
      <w:rFonts w:cs="Angsana New"/>
    </w:rPr>
  </w:style>
  <w:style w:type="character" w:styleId="PageNumber">
    <w:name w:val="page number"/>
    <w:basedOn w:val="DefaultParagraphFont"/>
    <w:uiPriority w:val="99"/>
    <w:semiHidden/>
    <w:unhideWhenUsed/>
    <w:rsid w:val="00674A86"/>
  </w:style>
  <w:style w:type="character" w:customStyle="1" w:styleId="apple-converted-space">
    <w:name w:val="apple-converted-space"/>
    <w:basedOn w:val="DefaultParagraphFont"/>
    <w:rsid w:val="00674A86"/>
  </w:style>
  <w:style w:type="paragraph" w:customStyle="1" w:styleId="whitespace-normal">
    <w:name w:val="whitespace-normal"/>
    <w:basedOn w:val="Normal"/>
    <w:rsid w:val="009E320B"/>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Header">
    <w:name w:val="header"/>
    <w:basedOn w:val="Normal"/>
    <w:link w:val="HeaderChar"/>
    <w:uiPriority w:val="99"/>
    <w:unhideWhenUsed/>
    <w:rsid w:val="00C14A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4A68"/>
    <w:rPr>
      <w:rFonts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90FAA-CC1B-2245-9401-FEDF731BE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34</Pages>
  <Words>6924</Words>
  <Characters>39468</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Nattakrit Nimtagool</dc:creator>
  <cp:keywords/>
  <dc:description/>
  <cp:lastModifiedBy>Nattakrit Nimtagool</cp:lastModifiedBy>
  <cp:revision>5</cp:revision>
  <dcterms:created xsi:type="dcterms:W3CDTF">2025-11-20T23:51:00Z</dcterms:created>
  <dcterms:modified xsi:type="dcterms:W3CDTF">2025-11-21T22:39:00Z</dcterms:modified>
</cp:coreProperties>
</file>