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9D2EA">
      <w:pPr>
        <w:pStyle w:val="2"/>
        <w:bidi w:val="0"/>
        <w:jc w:val="center"/>
      </w:pPr>
      <w:r>
        <w:t>个人贡献分析与经验总结</w:t>
      </w:r>
    </w:p>
    <w:p w14:paraId="37C42725">
      <w:pPr>
        <w:ind w:firstLine="420" w:firstLineChars="200"/>
      </w:pPr>
      <w:r>
        <w:rPr>
          <w:rFonts w:hint="default"/>
        </w:rPr>
        <w:t>在“2000–2009年肿瘤PET成像、分子表达与电学纳米传感交叉领域文献计量研究”项目中，丛嘉孚独立完成从需求分析、数据采集、代码开发、网络分析到学术产出的全流程工作。项目以Python自建流水线为主分析工具，VOSviewer为平行验证手段，构建了覆盖关键词共现、文献共被引、文献耦合、机构合作四类核心网络的双轨分析体系，并严格遵循课程可复现性规范，交付了包含结构化GitHub仓库、标准化配置文件、单元测试及一键清理工具的完整成果。</w:t>
      </w:r>
    </w:p>
    <w:p w14:paraId="30E62F9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default"/>
        </w:rPr>
        <w:t>具体工作与完成情况</w:t>
      </w:r>
      <w:r>
        <w:rPr>
          <w:rFonts w:hint="default"/>
        </w:rPr>
        <w:t>：数据层以Web of Science核心合集为源，设计多维度布尔检索式，筛选4165篇有效文献，完成字段清洗、关键词归一化与唯一标识符去重。方法层搭建Python 3.11自动化工作流，依托pandas、SciPy与NetworkX实现四类网络的稀疏矩阵运算及中心性指标计算；引入adjustText物理斥力算法解决标签重叠，同步使用VOSviewer完成聚类、时间演化、密度视图的交叉验证，两套方法结论高度吻合。工程层按标准目录架构组织项目，配置query.yaml统一管理参数，提供Makefile与run.py入口，</w:t>
      </w:r>
      <w:r>
        <w:rPr>
          <w:rFonts w:hint="default"/>
          <w:b/>
          <w:bCs/>
        </w:rPr>
        <w:t>支持OpenAlex在线检索、WoS本地解析和JSONL直接分析三种模式，并产出交互式HTML图谱与综合报告。</w:t>
      </w:r>
      <w:r>
        <w:rPr>
          <w:rFonts w:hint="default"/>
        </w:rPr>
        <w:t>成果层最终输出符合IMRaD结构的课程论文、答辩PPT及全流程可复现的代码仓库。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可前往‘完美的随意文献计量检索.zip’</w:t>
      </w:r>
      <w:bookmarkStart w:id="0" w:name="_GoBack"/>
      <w:bookmarkEnd w:id="0"/>
      <w:r>
        <w:rPr>
          <w:rFonts w:hint="eastAsia"/>
          <w:lang w:val="en-US" w:eastAsia="zh-CN"/>
        </w:rPr>
        <w:t>中体验最快捷的文献计量检索！</w:t>
      </w:r>
      <w:r>
        <w:rPr>
          <w:rFonts w:hint="eastAsia"/>
          <w:lang w:eastAsia="zh-CN"/>
        </w:rPr>
        <w:t>）</w:t>
      </w:r>
    </w:p>
    <w:p w14:paraId="636EA5C0">
      <w:pPr>
        <w:ind w:firstLine="420" w:firstLineChars="200"/>
        <w:rPr>
          <w:rFonts w:hint="default"/>
        </w:rPr>
      </w:pPr>
      <w:r>
        <w:rPr>
          <w:rFonts w:hint="default"/>
        </w:rPr>
        <w:t>问题解决</w:t>
      </w:r>
      <w:r>
        <w:rPr>
          <w:rFonts w:hint="default"/>
        </w:rPr>
        <w:t>：攻克三类关键障碍——①VOSviewer共被引网络无法启用时间视图，经排查定位为WoS参考文献格式非标准化所致，如实记录并改用密度视图替代分析；②Python流水线模块导入异常、无图形界面绘图失败及Windows文件锁定冲突，通过统一导入入口、切换Agg后台、前置清理临时文件解决；③跨设备运行兼容性问题，补充环境变量与路径说明，提升通用性。</w:t>
      </w:r>
    </w:p>
    <w:p w14:paraId="7885E023">
      <w:pPr>
        <w:ind w:firstLine="420" w:firstLineChars="200"/>
        <w:rPr>
          <w:rFonts w:hint="default"/>
        </w:rPr>
      </w:pPr>
      <w:r>
        <w:rPr>
          <w:rFonts w:hint="default"/>
        </w:rPr>
        <w:t>收获与反思</w:t>
      </w:r>
      <w:r>
        <w:rPr>
          <w:rFonts w:hint="default"/>
        </w:rPr>
        <w:t>：本次实践深化了对文献计量核心原理的理解，建立了“学术规范+工程规范”双维意识——学术上严格遵循证据链逻辑，工程上养成版本管理与参数化配置习惯。同时认识到自身在异常捕获和项目早期规划上的不足，后续将完善日志系统、前置设计环节，进一步提升研究的严谨性与工程化水平。</w:t>
      </w:r>
    </w:p>
    <w:p w14:paraId="2A966C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C5F0E"/>
    <w:rsid w:val="1C4A7B72"/>
    <w:rsid w:val="551C5F0E"/>
    <w:rsid w:val="567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790</Words>
  <Characters>912</Characters>
  <Lines>0</Lines>
  <Paragraphs>0</Paragraphs>
  <TotalTime>4</TotalTime>
  <ScaleCrop>false</ScaleCrop>
  <LinksUpToDate>false</LinksUpToDate>
  <CharactersWithSpaces>918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2026-06-28T13:18:00Z</dcterms:created>
  <dc:creator>那场被遗忘的孤夏之雨</dc:creator>
  <cp:lastModifiedBy>那场被遗忘的孤夏之雨</cp:lastModifiedBy>
  <dcterms:modified xsi:type="dcterms:W3CDTF">2026-06-28T18:57:26Z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BEFF995F66534FDF83562F807111DB57_11</vt:lpwstr>
  </property>
  <property fmtid="{D5CDD505-2E9C-101B-9397-08002B2CF9AE}" pid="4" name="KSOTemplateDocerSaveRecord">
    <vt:lpwstr>eyJoZGlkIjoiNDNjZGUzYWU0OGVmNWRiZDgzZWY5MzU2YjExYzY5MjkiLCJ1c2VySWQiOiIyOTY3NDUwMDEifQ==</vt:lpwstr>
  </property>
</Properties>
</file>