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Security Policy</w:t>
      </w:r>
    </w:p>
    <w:p>
      <w:r>
        <w:t>Section 1: Password Requirements</w:t>
      </w:r>
    </w:p>
    <w:p>
      <w:r>
        <w:t>All employee passwords must be at least 12 characters long and include a mix of uppercase letters, lowercase letters, numbers, and symbols. Passwords must be changed every 90 days.</w:t>
      </w:r>
    </w:p>
    <w:p>
      <w:r>
        <w:t>Section 2: Two-Factor Authentication</w:t>
      </w:r>
    </w:p>
    <w:p>
      <w:r>
        <w:t>Two-factor authentication (2FA) is mandatory for all accounts with access to customer data. Employees may use either an authenticator app or a hardware security key.</w:t>
      </w:r>
    </w:p>
    <w:p>
      <w:r>
        <w:t>Section 3: Reporting Incidents</w:t>
      </w:r>
    </w:p>
    <w:p>
      <w:r>
        <w:t>If you suspect your account has been compromised, immediately reset your password and contact the IT security team at security@company.example.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