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AI-ASSISTED EARLY DETECTION OF</w:t>
        <w:br w:type="textWrapping"/>
        <w:t xml:space="preserve">OSTEOARTHRITIS RISK MARKERS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Research Review and Proposed Portable Screening Architecture</w:t>
        <w:br w:type="textWrapping"/>
        <w:t xml:space="preserve">for the North Eastern Region (NER), India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br w:type="textWrapping"/>
        <w:t xml:space="preserve">Clinical evidence • Functional assessment • Camera/IMU sensing • AI risk stratification • Rural deployment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af2f8" w:val="clear"/>
            <w:vAlign w:val="center"/>
          </w:tcPr>
          <w:p w:rsidR="00000000" w:rsidDel="00000000" w:rsidP="00000000" w:rsidRDefault="00000000" w:rsidRPr="00000000" w14:paraId="00000005">
            <w:pPr>
              <w:rPr/>
            </w:pPr>
            <w:r w:rsidDel="00000000" w:rsidR="00000000" w:rsidRPr="00000000">
              <w:rPr>
                <w:b w:val="1"/>
                <w:bCs w:val="1"/>
                <w:sz w:val="18"/>
                <w:szCs w:val="18"/>
                <w:rtl w:val="0"/>
              </w:rPr>
              <w:t xml:space="preserve">Purpose</w:t>
            </w:r>
            <w:r w:rsidDel="00000000" w:rsidR="00000000" w:rsidRPr="00000000">
              <w:rPr>
                <w:rtl w:val="0"/>
              </w:rPr>
            </w:r>
          </w:p>
        </w:tc>
        <w:tc>
          <w:tcPr>
            <w:vAlign w:val="center"/>
          </w:tcPr>
          <w:p w:rsidR="00000000" w:rsidDel="00000000" w:rsidP="00000000" w:rsidRDefault="00000000" w:rsidRPr="00000000" w14:paraId="00000006">
            <w:pPr>
              <w:rPr/>
            </w:pPr>
            <w:r w:rsidDel="00000000" w:rsidR="00000000" w:rsidRPr="00000000">
              <w:rPr>
                <w:b w:val="0"/>
                <w:bCs w:val="0"/>
                <w:sz w:val="18"/>
                <w:szCs w:val="18"/>
                <w:rtl w:val="0"/>
              </w:rPr>
              <w:t xml:space="preserve">Develop an evidence-informed, portable and offline-capable screening/triage concept for OA risk markers.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7">
            <w:pPr>
              <w:rPr/>
            </w:pPr>
            <w:r w:rsidDel="00000000" w:rsidR="00000000" w:rsidRPr="00000000">
              <w:rPr>
                <w:b w:val="1"/>
                <w:bCs w:val="1"/>
                <w:sz w:val="18"/>
                <w:szCs w:val="18"/>
                <w:rtl w:val="0"/>
              </w:rPr>
              <w:t xml:space="preserve">Primary output</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b w:val="0"/>
                <w:bCs w:val="0"/>
                <w:sz w:val="18"/>
                <w:szCs w:val="18"/>
                <w:rtl w:val="0"/>
              </w:rPr>
              <w:t xml:space="preserve">Three-tier risk stratification rather than a definitive OA diagnosis.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9">
            <w:pPr>
              <w:rPr/>
            </w:pPr>
            <w:r w:rsidDel="00000000" w:rsidR="00000000" w:rsidRPr="00000000">
              <w:rPr>
                <w:b w:val="1"/>
                <w:bCs w:val="1"/>
                <w:sz w:val="18"/>
                <w:szCs w:val="18"/>
                <w:rtl w:val="0"/>
              </w:rPr>
              <w:t xml:space="preserve">Target setting</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b w:val="0"/>
                <w:bCs w:val="0"/>
                <w:sz w:val="18"/>
                <w:szCs w:val="18"/>
                <w:rtl w:val="0"/>
              </w:rPr>
              <w:t xml:space="preserve">Resource-constrained and decentralized screening settings in the North Eastern Region.</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B">
            <w:pPr>
              <w:rPr/>
            </w:pPr>
            <w:r w:rsidDel="00000000" w:rsidR="00000000" w:rsidRPr="00000000">
              <w:rPr>
                <w:b w:val="1"/>
                <w:bCs w:val="1"/>
                <w:sz w:val="18"/>
                <w:szCs w:val="18"/>
                <w:rtl w:val="0"/>
              </w:rPr>
              <w:t xml:space="preserve">Core principle</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b w:val="0"/>
                <w:bCs w:val="0"/>
                <w:sz w:val="18"/>
                <w:szCs w:val="18"/>
                <w:rtl w:val="0"/>
              </w:rPr>
              <w:t xml:space="preserve">Combine validated clinical information with low-cost functional/kinematic measurements and interpretable AI.</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Executive Summary</w:t>
      </w:r>
    </w:p>
    <w:p w:rsidR="00000000" w:rsidDel="00000000" w:rsidP="00000000" w:rsidRDefault="00000000" w:rsidRPr="00000000" w14:paraId="0000000F">
      <w:pPr>
        <w:rPr/>
      </w:pPr>
      <w:r w:rsidDel="00000000" w:rsidR="00000000" w:rsidRPr="00000000">
        <w:rPr>
          <w:rtl w:val="0"/>
        </w:rPr>
        <w:t xml:space="preserve">The research reviewed for this project points to a practical gap in osteoarthritis (OA) screening: OA-related biological and functional changes can precede conventional clinical recognition, while routine radiography is not sensitive to early cartilage pathology. The literature therefore supports a layered approach in which symptoms, risk factors and physical function are assessed before selective referral for clinical examination and imaging.</w:t>
      </w:r>
    </w:p>
    <w:p w:rsidR="00000000" w:rsidDel="00000000" w:rsidP="00000000" w:rsidRDefault="00000000" w:rsidRPr="00000000" w14:paraId="00000010">
      <w:pPr>
        <w:rPr/>
      </w:pPr>
      <w:r w:rsidDel="00000000" w:rsidR="00000000" w:rsidRPr="00000000">
        <w:rPr>
          <w:rtl w:val="0"/>
        </w:rPr>
        <w:t xml:space="preserve">For a North Eastern Region deployment, the proposed system is designed as a screening and triage tool rather than a diagnostic replacement. The recommended architecture combines a structured multilingual questionnaire, basic anthropometric and clinical inputs, guided functional tests, and low-cost movement sensing. A camera can be used for single-person pose and movement analysis in a controlled screening setup; low-cost IMUs can be added where portable kinematic measurement or operation independent of lighting is required. The final model should be trained and validated on locally collected NER data before clinical use.</w:t>
      </w:r>
    </w:p>
    <w:p w:rsidR="00000000" w:rsidDel="00000000" w:rsidP="00000000" w:rsidRDefault="00000000" w:rsidRPr="00000000" w14:paraId="00000011">
      <w:pPr>
        <w:rPr/>
      </w:pPr>
      <w:r w:rsidDel="00000000" w:rsidR="00000000" w:rsidRPr="00000000">
        <w:rPr>
          <w:rtl w:val="0"/>
        </w:rPr>
        <w:t xml:space="preserve">The intended output is a three-tier risk band: (1) low risk / preventive guidance, (2) elevated risk markers / monitoring or physiotherapy referral, and (3) findings consistent with probable OA / clinical evaluation and selective imaging or specialist referral. Red-flag presentations should bypass automated risk scoring and be referred for clinical assessment.</w:t>
      </w:r>
    </w:p>
    <w:p w:rsidR="00000000" w:rsidDel="00000000" w:rsidP="00000000" w:rsidRDefault="00000000" w:rsidRPr="00000000" w14:paraId="00000012">
      <w:pPr>
        <w:pStyle w:val="Heading1"/>
        <w:rPr/>
      </w:pPr>
      <w:r w:rsidDel="00000000" w:rsidR="00000000" w:rsidRPr="00000000">
        <w:rPr>
          <w:rtl w:val="0"/>
        </w:rPr>
        <w:t xml:space="preserve">2. What the Clinical Literature Supports</w:t>
      </w:r>
    </w:p>
    <w:p w:rsidR="00000000" w:rsidDel="00000000" w:rsidP="00000000" w:rsidRDefault="00000000" w:rsidRPr="00000000" w14:paraId="00000013">
      <w:pPr>
        <w:pStyle w:val="Heading2"/>
        <w:rPr/>
      </w:pPr>
      <w:r w:rsidDel="00000000" w:rsidR="00000000" w:rsidRPr="00000000">
        <w:rPr>
          <w:rtl w:val="0"/>
        </w:rPr>
        <w:t xml:space="preserve">2.1 OA and the early-detection gap</w:t>
      </w:r>
    </w:p>
    <w:p w:rsidR="00000000" w:rsidDel="00000000" w:rsidP="00000000" w:rsidRDefault="00000000" w:rsidRPr="00000000" w14:paraId="00000014">
      <w:pPr>
        <w:rPr/>
      </w:pPr>
      <w:r w:rsidDel="00000000" w:rsidR="00000000" w:rsidRPr="00000000">
        <w:rPr>
          <w:rtl w:val="0"/>
        </w:rPr>
        <w:t xml:space="preserve">The reviewed literature emphasizes that OA develops over a long period and is associated with modifiable and non-modifiable risk factors. Mechanical overload, obesity and previous joint injury are among the important risk factors highlighted in the supplied research. Conventional diagnosis combines clinical assessment with imaging when indicated. Plain radiography is useful and widely available but can miss early disease-related changes because cartilage itself is not directly visualized on a plain X-ray.</w:t>
      </w:r>
    </w:p>
    <w:p w:rsidR="00000000" w:rsidDel="00000000" w:rsidP="00000000" w:rsidRDefault="00000000" w:rsidRPr="00000000" w14:paraId="00000015">
      <w:pPr>
        <w:spacing w:after="100" w:lineRule="auto"/>
        <w:rPr/>
      </w:pPr>
      <w:r w:rsidDel="00000000" w:rsidR="00000000" w:rsidRPr="00000000">
        <w:rPr>
          <w:b w:val="1"/>
          <w:bCs w:val="1"/>
          <w:rtl w:val="0"/>
        </w:rPr>
        <w:t xml:space="preserve">Source note: </w:t>
      </w:r>
      <w:r w:rsidDel="00000000" w:rsidR="00000000" w:rsidRPr="00000000">
        <w:rPr>
          <w:rtl w:val="0"/>
        </w:rPr>
        <w:t xml:space="preserve">Based on the supplied PMC3446496 research summary.</w:t>
      </w:r>
    </w:p>
    <w:p w:rsidR="00000000" w:rsidDel="00000000" w:rsidP="00000000" w:rsidRDefault="00000000" w:rsidRPr="00000000" w14:paraId="00000016">
      <w:pPr>
        <w:pStyle w:val="Heading2"/>
        <w:rPr/>
      </w:pPr>
      <w:r w:rsidDel="00000000" w:rsidR="00000000" w:rsidRPr="00000000">
        <w:rPr>
          <w:rtl w:val="0"/>
        </w:rPr>
        <w:t xml:space="preserve">2.2 The pre-OA concept</w:t>
      </w:r>
    </w:p>
    <w:p w:rsidR="00000000" w:rsidDel="00000000" w:rsidP="00000000" w:rsidRDefault="00000000" w:rsidRPr="00000000" w14:paraId="00000017">
      <w:pPr>
        <w:rPr/>
      </w:pPr>
      <w:r w:rsidDel="00000000" w:rsidR="00000000" w:rsidRPr="00000000">
        <w:rPr>
          <w:rtl w:val="0"/>
        </w:rPr>
        <w:t xml:space="preserve">The supplied sources describe a proposed stage before established or early structural OA in which biological processes may already be developing without clear radiographic structural change. MRI and ultrasound can detect some pre-radiographic structural abnormalities, but the clinical significance of such findings in people without radiographic OA remains incompletely established.</w:t>
      </w:r>
    </w:p>
    <w:p w:rsidR="00000000" w:rsidDel="00000000" w:rsidP="00000000" w:rsidRDefault="00000000" w:rsidRPr="00000000" w14:paraId="00000018">
      <w:pPr>
        <w:spacing w:after="100" w:lineRule="auto"/>
        <w:rPr/>
      </w:pPr>
      <w:r w:rsidDel="00000000" w:rsidR="00000000" w:rsidRPr="00000000">
        <w:rPr>
          <w:b w:val="1"/>
          <w:bCs w:val="1"/>
          <w:rtl w:val="0"/>
        </w:rPr>
        <w:t xml:space="preserve">Source note: </w:t>
      </w:r>
      <w:r w:rsidDel="00000000" w:rsidR="00000000" w:rsidRPr="00000000">
        <w:rPr>
          <w:rtl w:val="0"/>
        </w:rPr>
        <w:t xml:space="preserve">Based on the supplied PMC4481392 and PMC4632144 research summaries.</w:t>
      </w:r>
    </w:p>
    <w:p w:rsidR="00000000" w:rsidDel="00000000" w:rsidP="00000000" w:rsidRDefault="00000000" w:rsidRPr="00000000" w14:paraId="00000019">
      <w:pPr>
        <w:pStyle w:val="Heading2"/>
        <w:rPr/>
      </w:pPr>
      <w:r w:rsidDel="00000000" w:rsidR="00000000" w:rsidRPr="00000000">
        <w:rPr>
          <w:rtl w:val="0"/>
        </w:rPr>
        <w:t xml:space="preserve">2.3 Early signatures and movement-based assessment</w:t>
      </w:r>
    </w:p>
    <w:p w:rsidR="00000000" w:rsidDel="00000000" w:rsidP="00000000" w:rsidRDefault="00000000" w:rsidRPr="00000000" w14:paraId="0000001A">
      <w:pPr>
        <w:rPr/>
      </w:pPr>
      <w:r w:rsidDel="00000000" w:rsidR="00000000" w:rsidRPr="00000000">
        <w:rPr>
          <w:rtl w:val="0"/>
        </w:rPr>
        <w:t xml:space="preserve">One research direction in the supplied sources used MRI-derived cartilage phenotypes and statistical pattern recognition to identify signatures associated with future OA progression. This demonstrates the broader concept that measurable changes may precede conventional symptoms or radiographic findings, but MRI is not appropriate as the core technology of a low-cost field kit.</w:t>
      </w:r>
    </w:p>
    <w:p w:rsidR="00000000" w:rsidDel="00000000" w:rsidP="00000000" w:rsidRDefault="00000000" w:rsidRPr="00000000" w14:paraId="0000001B">
      <w:pPr>
        <w:rPr/>
      </w:pPr>
      <w:r w:rsidDel="00000000" w:rsidR="00000000" w:rsidRPr="00000000">
        <w:rPr>
          <w:rtl w:val="0"/>
        </w:rPr>
        <w:t xml:space="preserve">A more deployment-relevant direction is wearable inertial sensing. The supplied research reports deep-learning work using IMU data to estimate knee flexion kinematics during walking, sit-to-stand and stair negotiation in people with knee OA. More recent work in the supplied source set also reports that body-worn IMUs can track knee flexion with accuracy comparable to optical motion capture under studied conditions.</w:t>
      </w:r>
    </w:p>
    <w:p w:rsidR="00000000" w:rsidDel="00000000" w:rsidP="00000000" w:rsidRDefault="00000000" w:rsidRPr="00000000" w14:paraId="0000001C">
      <w:pPr>
        <w:spacing w:after="100" w:lineRule="auto"/>
        <w:rPr/>
      </w:pPr>
      <w:r w:rsidDel="00000000" w:rsidR="00000000" w:rsidRPr="00000000">
        <w:rPr>
          <w:b w:val="1"/>
          <w:bCs w:val="1"/>
          <w:rtl w:val="0"/>
        </w:rPr>
        <w:t xml:space="preserve">Source note: </w:t>
      </w:r>
      <w:r w:rsidDel="00000000" w:rsidR="00000000" w:rsidRPr="00000000">
        <w:rPr>
          <w:rtl w:val="0"/>
        </w:rPr>
        <w:t xml:space="preserve">Based on the supplied PMC7547154, PMC8781640 and PMC12633563 research summaries. The small sample size reported for the IMU study must be treated as a limitation.</w:t>
      </w:r>
    </w:p>
    <w:p w:rsidR="00000000" w:rsidDel="00000000" w:rsidP="00000000" w:rsidRDefault="00000000" w:rsidRPr="00000000" w14:paraId="0000001D">
      <w:pPr>
        <w:pStyle w:val="Heading1"/>
        <w:rPr/>
      </w:pPr>
      <w:r w:rsidDel="00000000" w:rsidR="00000000" w:rsidRPr="00000000">
        <w:rPr>
          <w:rtl w:val="0"/>
        </w:rPr>
        <w:t xml:space="preserve">3. Clinical Workflow to Digitize</w:t>
      </w:r>
    </w:p>
    <w:p w:rsidR="00000000" w:rsidDel="00000000" w:rsidP="00000000" w:rsidRDefault="00000000" w:rsidRPr="00000000" w14:paraId="0000001E">
      <w:pPr>
        <w:rPr/>
      </w:pPr>
      <w:r w:rsidDel="00000000" w:rsidR="00000000" w:rsidRPr="00000000">
        <w:rPr>
          <w:rtl w:val="0"/>
        </w:rPr>
        <w:t xml:space="preserve">The supplied diagnostic guidance indicates that many patients with suspected knee OA can be assessed in a primary/family-practice setting through a comprehensive history and physical examination, with imaging used selectively for specific diagnostic questions. This supports building the application around a structured clinical workflow rather than attempting to replace diagnosis with a single AI measurement.</w:t>
      </w:r>
    </w:p>
    <w:p w:rsidR="00000000" w:rsidDel="00000000" w:rsidP="00000000" w:rsidRDefault="00000000" w:rsidRPr="00000000" w14:paraId="0000001F">
      <w:pPr>
        <w:rPr/>
      </w:pPr>
      <w:r w:rsidDel="00000000" w:rsidR="00000000" w:rsidRPr="00000000">
        <w:rPr>
          <w:rtl w:val="0"/>
        </w:rPr>
        <w:t xml:space="preserve">The Knee injury and Osteoarthritis Outcome Score (KOOS) is identified in the supplied research as a validated patient-reported outcome measure. It can serve as a structured backbone for recording symptoms and function, subject to appropriate licensing, translation and validation requirements for the intended deployment.</w:t>
      </w:r>
    </w:p>
    <w:p w:rsidR="00000000" w:rsidDel="00000000" w:rsidP="00000000" w:rsidRDefault="00000000" w:rsidRPr="00000000" w14:paraId="00000020">
      <w:pPr>
        <w:spacing w:after="100" w:lineRule="auto"/>
        <w:rPr/>
      </w:pPr>
      <w:r w:rsidDel="00000000" w:rsidR="00000000" w:rsidRPr="00000000">
        <w:rPr>
          <w:b w:val="1"/>
          <w:bCs w:val="1"/>
          <w:rtl w:val="0"/>
        </w:rPr>
        <w:t xml:space="preserve">Source note: </w:t>
      </w:r>
      <w:r w:rsidDel="00000000" w:rsidR="00000000" w:rsidRPr="00000000">
        <w:rPr>
          <w:rtl w:val="0"/>
        </w:rPr>
        <w:t xml:space="preserve">Based on the supplied BCMJ diagnostic source and PMC280702 research summary.</w:t>
      </w:r>
    </w:p>
    <w:p w:rsidR="00000000" w:rsidDel="00000000" w:rsidP="00000000" w:rsidRDefault="00000000" w:rsidRPr="00000000" w14:paraId="00000021">
      <w:pPr>
        <w:pStyle w:val="Heading1"/>
        <w:rPr/>
      </w:pPr>
      <w:r w:rsidDel="00000000" w:rsidR="00000000" w:rsidRPr="00000000">
        <w:rPr>
          <w:rtl w:val="0"/>
        </w:rPr>
        <w:t xml:space="preserve">4. Proposed Risk-Stratification Framework</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22">
            <w:pPr>
              <w:rPr/>
            </w:pPr>
            <w:r w:rsidDel="00000000" w:rsidR="00000000" w:rsidRPr="00000000">
              <w:rPr>
                <w:b w:val="1"/>
                <w:bCs w:val="1"/>
                <w:sz w:val="18"/>
                <w:szCs w:val="18"/>
                <w:rtl w:val="0"/>
              </w:rPr>
              <w:t xml:space="preserve">Tier</w:t>
            </w:r>
            <w:r w:rsidDel="00000000" w:rsidR="00000000" w:rsidRPr="00000000">
              <w:rPr>
                <w:rtl w:val="0"/>
              </w:rPr>
            </w:r>
          </w:p>
        </w:tc>
        <w:tc>
          <w:tcPr>
            <w:shd w:fill="d9eaf7" w:val="clear"/>
            <w:vAlign w:val="center"/>
          </w:tcPr>
          <w:p w:rsidR="00000000" w:rsidDel="00000000" w:rsidP="00000000" w:rsidRDefault="00000000" w:rsidRPr="00000000" w14:paraId="00000023">
            <w:pPr>
              <w:rPr/>
            </w:pPr>
            <w:r w:rsidDel="00000000" w:rsidR="00000000" w:rsidRPr="00000000">
              <w:rPr>
                <w:b w:val="1"/>
                <w:bCs w:val="1"/>
                <w:sz w:val="18"/>
                <w:szCs w:val="18"/>
                <w:rtl w:val="0"/>
              </w:rPr>
              <w:t xml:space="preserve">Meaning</w:t>
            </w:r>
            <w:r w:rsidDel="00000000" w:rsidR="00000000" w:rsidRPr="00000000">
              <w:rPr>
                <w:rtl w:val="0"/>
              </w:rPr>
            </w:r>
          </w:p>
        </w:tc>
        <w:tc>
          <w:tcPr>
            <w:shd w:fill="d9eaf7" w:val="clear"/>
            <w:vAlign w:val="center"/>
          </w:tcPr>
          <w:p w:rsidR="00000000" w:rsidDel="00000000" w:rsidP="00000000" w:rsidRDefault="00000000" w:rsidRPr="00000000" w14:paraId="00000024">
            <w:pPr>
              <w:rPr/>
            </w:pPr>
            <w:r w:rsidDel="00000000" w:rsidR="00000000" w:rsidRPr="00000000">
              <w:rPr>
                <w:b w:val="1"/>
                <w:bCs w:val="1"/>
                <w:sz w:val="18"/>
                <w:szCs w:val="18"/>
                <w:rtl w:val="0"/>
              </w:rPr>
              <w:t xml:space="preserve">Suggested next action</w:t>
            </w:r>
            <w:r w:rsidDel="00000000" w:rsidR="00000000" w:rsidRPr="00000000">
              <w:rPr>
                <w:rtl w:val="0"/>
              </w:rPr>
            </w:r>
          </w:p>
        </w:tc>
        <w:tc>
          <w:tcPr>
            <w:shd w:fill="d9eaf7" w:val="clear"/>
            <w:vAlign w:val="center"/>
          </w:tcPr>
          <w:p w:rsidR="00000000" w:rsidDel="00000000" w:rsidP="00000000" w:rsidRDefault="00000000" w:rsidRPr="00000000" w14:paraId="00000025">
            <w:pPr>
              <w:rPr/>
            </w:pPr>
            <w:r w:rsidDel="00000000" w:rsidR="00000000" w:rsidRPr="00000000">
              <w:rPr>
                <w:b w:val="1"/>
                <w:bCs w:val="1"/>
                <w:sz w:val="18"/>
                <w:szCs w:val="18"/>
                <w:rtl w:val="0"/>
              </w:rPr>
              <w:t xml:space="preserve">System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b w:val="0"/>
                <w:bCs w:val="0"/>
                <w:sz w:val="18"/>
                <w:szCs w:val="18"/>
                <w:rtl w:val="0"/>
              </w:rPr>
              <w:t xml:space="preserve">Tier 1 — Low risk</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b w:val="0"/>
                <w:bCs w:val="0"/>
                <w:sz w:val="18"/>
                <w:szCs w:val="18"/>
                <w:rtl w:val="0"/>
              </w:rPr>
              <w:t xml:space="preserve">No major risk markers detected</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8"/>
                <w:szCs w:val="18"/>
                <w:rtl w:val="0"/>
              </w:rPr>
              <w:t xml:space="preserve">Preventive education and routine monitoring</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0"/>
                <w:bCs w:val="0"/>
                <w:sz w:val="18"/>
                <w:szCs w:val="18"/>
                <w:rtl w:val="0"/>
              </w:rPr>
              <w:t xml:space="preserve">Provide guidance; no urgent referral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Tier 2 — Elevated risk markers</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Functional, symptom or risk-factor signals present</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Monitoring and/or physiotherapy/clinical review</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Explain contributing factors and recommend follow-up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Tier 3 — Probable OA pattern</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Multiple findings consistent with clinically important OA risk/pattern</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Clinical examination; selective imaging/specialist referral</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Do not call this a definitive diagnosis</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t xml:space="preserve">This tiering is a proposed product design based on the supplied research. It should not be treated as a validated clinical scoring system until prospectively tested against appropriate clinical reference standards.</w:t>
      </w:r>
    </w:p>
    <w:p w:rsidR="00000000" w:rsidDel="00000000" w:rsidP="00000000" w:rsidRDefault="00000000" w:rsidRPr="00000000" w14:paraId="00000033">
      <w:pPr>
        <w:pStyle w:val="Heading1"/>
        <w:rPr/>
      </w:pPr>
      <w:r w:rsidDel="00000000" w:rsidR="00000000" w:rsidRPr="00000000">
        <w:rPr>
          <w:rtl w:val="0"/>
        </w:rPr>
        <w:t xml:space="preserve">5. Portable NER Screening Architecture</w:t>
      </w:r>
    </w:p>
    <w:p w:rsidR="00000000" w:rsidDel="00000000" w:rsidP="00000000" w:rsidRDefault="00000000" w:rsidRPr="00000000" w14:paraId="00000034">
      <w:pPr>
        <w:pStyle w:val="Heading2"/>
        <w:rPr/>
      </w:pPr>
      <w:r w:rsidDel="00000000" w:rsidR="00000000" w:rsidRPr="00000000">
        <w:rPr>
          <w:rtl w:val="0"/>
        </w:rPr>
        <w:t xml:space="preserve">5.1 Layer 1 — Structured intake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Digital, multilingual questionnaire covering validated symptom/function content such as KOOS or an appropriately licensed equivalent.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Risk-factor capture: age, sex, BMI, occupation, previous joint injury and family history.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Structured pain history aligned with the family-practice diagnostic workflow described in the supplied clinical source.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Offline-first data entry so screening does not depend on continuous internet access.</w:t>
      </w:r>
    </w:p>
    <w:p w:rsidR="00000000" w:rsidDel="00000000" w:rsidP="00000000" w:rsidRDefault="00000000" w:rsidRPr="00000000" w14:paraId="00000039">
      <w:pPr>
        <w:pStyle w:val="Heading2"/>
        <w:rPr/>
      </w:pPr>
      <w:r w:rsidDel="00000000" w:rsidR="00000000" w:rsidRPr="00000000">
        <w:rPr>
          <w:rtl w:val="0"/>
        </w:rPr>
        <w:t xml:space="preserve">5.2 Layer 2 — Guided physical examination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App-guided checklist for relevant bedside findings such as range of motion, crepitus, joint-line tenderness and alignment, where a trained health worker can perform them.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Digital goniometry or camera-assisted estimation can be explored for knee flexion/extension range, but measurements should be labeled as estimates until validated against clinical instruments.</w:t>
      </w:r>
    </w:p>
    <w:p w:rsidR="00000000" w:rsidDel="00000000" w:rsidP="00000000" w:rsidRDefault="00000000" w:rsidRPr="00000000" w14:paraId="0000003C">
      <w:pPr>
        <w:pStyle w:val="Heading2"/>
        <w:rPr/>
      </w:pPr>
      <w:r w:rsidDel="00000000" w:rsidR="00000000" w:rsidRPr="00000000">
        <w:rPr>
          <w:rtl w:val="0"/>
        </w:rPr>
        <w:t xml:space="preserve">5.3 Layer 3 — Functional and kinematic screening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TUG (Timed Up and Go): stand from a chair, walk 3 m, turn, return and sit; record completion time.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Squat activity: record depth, left-right symmetry and movement pattern; optionally flag dynamic knee valgus and compensations.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Frontal alignment/Q-angle estimation: use hip, knee and ankle landmarks to estimate frontal-plane alignment; treat this as an approximation rather than a clinical-grade goniometric measurement.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Step-up/step-down: use a standardized low-height step and capture movement strategy, asymmetry, hesitation and knee tracking.</w:t>
      </w:r>
    </w:p>
    <w:p w:rsidR="00000000" w:rsidDel="00000000" w:rsidP="00000000" w:rsidRDefault="00000000" w:rsidRPr="00000000" w14:paraId="00000041">
      <w:pPr>
        <w:pStyle w:val="Heading2"/>
        <w:rPr/>
      </w:pPr>
      <w:r w:rsidDel="00000000" w:rsidR="00000000" w:rsidRPr="00000000">
        <w:rPr>
          <w:rtl w:val="0"/>
        </w:rPr>
        <w:t xml:space="preserve">5.4 Layer 4 — AI risk model</w:t>
      </w:r>
    </w:p>
    <w:p w:rsidR="00000000" w:rsidDel="00000000" w:rsidP="00000000" w:rsidRDefault="00000000" w:rsidRPr="00000000" w14:paraId="00000042">
      <w:pPr>
        <w:rPr/>
      </w:pPr>
      <w:r w:rsidDel="00000000" w:rsidR="00000000" w:rsidRPr="00000000">
        <w:rPr>
          <w:rtl w:val="0"/>
        </w:rPr>
        <w:t xml:space="preserve">A practical first model should combine structured clinical variables and movement features rather than rely on a single sensor. It contains threshold based algorithm with these variables weights.</w:t>
      </w:r>
    </w:p>
    <w:p w:rsidR="00000000" w:rsidDel="00000000" w:rsidP="00000000" w:rsidRDefault="00000000" w:rsidRPr="00000000" w14:paraId="00000043">
      <w:pPr>
        <w:rPr/>
      </w:pPr>
      <w:r w:rsidDel="00000000" w:rsidR="00000000" w:rsidRPr="00000000">
        <w:rPr>
          <w:b w:val="1"/>
          <w:bCs w:val="1"/>
          <w:rtl w:val="0"/>
        </w:rPr>
        <w:t xml:space="preserve">Proposed feature vector: </w:t>
      </w:r>
      <w:r w:rsidDel="00000000" w:rsidR="00000000" w:rsidRPr="00000000">
        <w:rPr>
          <w:rtl w:val="0"/>
        </w:rPr>
        <w:t xml:space="preserve">[age, sex, BMI, KOOS-function, stiffness flag, swelling flag, TUG time, squat quality/movement features, alignment estimate, step-test asymmetry]</w:t>
      </w:r>
    </w:p>
    <w:p w:rsidR="00000000" w:rsidDel="00000000" w:rsidP="00000000" w:rsidRDefault="00000000" w:rsidRPr="00000000" w14:paraId="00000044">
      <w:pPr>
        <w:rPr/>
      </w:pPr>
      <w:r w:rsidDel="00000000" w:rsidR="00000000" w:rsidRPr="00000000">
        <w:rPr>
          <w:rtl w:val="0"/>
        </w:rPr>
        <w:t xml:space="preserve">The model should report both a risk band and the main contributing features. This supports health-worker interpretation and makes the system easier to evaluate than an opaque prediction.</w:t>
      </w:r>
    </w:p>
    <w:p w:rsidR="00000000" w:rsidDel="00000000" w:rsidP="00000000" w:rsidRDefault="00000000" w:rsidRPr="00000000" w14:paraId="00000045">
      <w:pPr>
        <w:pStyle w:val="Heading2"/>
        <w:rPr/>
      </w:pPr>
      <w:r w:rsidDel="00000000" w:rsidR="00000000" w:rsidRPr="00000000">
        <w:rPr>
          <w:rtl w:val="0"/>
        </w:rPr>
        <w:t xml:space="preserve">5.5 Layer 5 — Offline-first data and synchronization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Local SQLite/Room-style database on an Android tablet or phone.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 the patient record and screening result locally when connectivity is unavailable.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Synchronize encrypted records to the central server when connectivity returns.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role-based access, audit logging and appropriate consent/data-governance procedures.</w:t>
      </w:r>
    </w:p>
    <w:p w:rsidR="00000000" w:rsidDel="00000000" w:rsidP="00000000" w:rsidRDefault="00000000" w:rsidRPr="00000000" w14:paraId="0000004A">
      <w:pPr>
        <w:pStyle w:val="Heading2"/>
        <w:rPr/>
      </w:pPr>
      <w:r w:rsidDel="00000000" w:rsidR="00000000" w:rsidRPr="00000000">
        <w:rPr>
          <w:rtl w:val="0"/>
        </w:rPr>
        <w:t xml:space="preserve">5.6 Layer 6 — Reporting and referral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a one-page digital/printable report for the health worker and patient.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Show risk tier, contributing factors, recommended next step and preventive guidance in plain language.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red-flag escalation separate from the AI risk score.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 health-worker review/sign-off before the patient receives the final recommendation.</w:t>
      </w:r>
    </w:p>
    <w:p w:rsidR="00000000" w:rsidDel="00000000" w:rsidP="00000000" w:rsidRDefault="00000000" w:rsidRPr="00000000" w14:paraId="0000004F">
      <w:pPr>
        <w:pStyle w:val="Heading1"/>
        <w:rPr/>
      </w:pPr>
      <w:r w:rsidDel="00000000" w:rsidR="00000000" w:rsidRPr="00000000">
        <w:rPr>
          <w:rtl w:val="0"/>
        </w:rPr>
        <w:t xml:space="preserve">6. Complete Patient Journey</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50">
            <w:pPr>
              <w:rPr/>
            </w:pPr>
            <w:r w:rsidDel="00000000" w:rsidR="00000000" w:rsidRPr="00000000">
              <w:rPr>
                <w:b w:val="1"/>
                <w:bCs w:val="1"/>
                <w:sz w:val="18"/>
                <w:szCs w:val="18"/>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51">
            <w:pPr>
              <w:rPr/>
            </w:pPr>
            <w:r w:rsidDel="00000000" w:rsidR="00000000" w:rsidRPr="00000000">
              <w:rPr>
                <w:b w:val="1"/>
                <w:bCs w:val="1"/>
                <w:sz w:val="18"/>
                <w:szCs w:val="18"/>
                <w:rtl w:val="0"/>
              </w:rPr>
              <w:t xml:space="preserve">Approx. time</w:t>
            </w:r>
            <w:r w:rsidDel="00000000" w:rsidR="00000000" w:rsidRPr="00000000">
              <w:rPr>
                <w:rtl w:val="0"/>
              </w:rPr>
            </w:r>
          </w:p>
        </w:tc>
        <w:tc>
          <w:tcPr>
            <w:shd w:fill="d9eaf7" w:val="clear"/>
            <w:vAlign w:val="center"/>
          </w:tcPr>
          <w:p w:rsidR="00000000" w:rsidDel="00000000" w:rsidP="00000000" w:rsidRDefault="00000000" w:rsidRPr="00000000" w14:paraId="00000052">
            <w:pPr>
              <w:rPr/>
            </w:pPr>
            <w:r w:rsidDel="00000000" w:rsidR="00000000" w:rsidRPr="00000000">
              <w:rPr>
                <w:b w:val="1"/>
                <w:bCs w:val="1"/>
                <w:sz w:val="18"/>
                <w:szCs w:val="18"/>
                <w:rtl w:val="0"/>
              </w:rPr>
              <w:t xml:space="preserve">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b w:val="1"/>
                <w:bCs w:val="1"/>
                <w:sz w:val="18"/>
                <w:szCs w:val="18"/>
                <w:rtl w:val="0"/>
              </w:rPr>
              <w:t xml:space="preserve">Stage 0 — Camp setup</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Once per camp</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Position camera/phone on tripod, mark the patient position, check visibility, load local language prompts, and perform a quick calibration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b w:val="1"/>
                <w:bCs w:val="1"/>
                <w:sz w:val="18"/>
                <w:szCs w:val="18"/>
                <w:rtl w:val="0"/>
              </w:rPr>
              <w:t xml:space="preserve">Stage 1 — Registration</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~2 min</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Enter patient ID, age and sex; measure weight and height; automatically calculate BMI.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b w:val="1"/>
                <w:bCs w:val="1"/>
                <w:sz w:val="18"/>
                <w:szCs w:val="18"/>
                <w:rtl w:val="0"/>
              </w:rPr>
              <w:t xml:space="preserve">Stage 2 — Questionnaire</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~5–7 min</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Complete validated symptom/function questions and focused symptom flags such as stiffness and swelling.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b w:val="1"/>
                <w:bCs w:val="1"/>
                <w:sz w:val="18"/>
                <w:szCs w:val="18"/>
                <w:rtl w:val="0"/>
              </w:rPr>
              <w:t xml:space="preserve">Stage 3 — Functional tests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~5–6 min</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Perform TUG, squat, alignment/Q-angle assessment and step-up/step-down while the app guides the procedure.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b w:val="1"/>
                <w:bCs w:val="1"/>
                <w:sz w:val="18"/>
                <w:szCs w:val="18"/>
                <w:rtl w:val="0"/>
              </w:rPr>
              <w:t xml:space="preserve">Stage 4 — AI scoring</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~10–15 sec</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Extract features, run the risk model locally where feasible, and generate the three-tier risk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b w:val="1"/>
                <w:bCs w:val="1"/>
                <w:sz w:val="18"/>
                <w:szCs w:val="18"/>
                <w:rtl w:val="0"/>
              </w:rPr>
              <w:t xml:space="preserve">Stage 5 — Report</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Instant</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Create a patient/health-worker report with contributing factors and next-step guidance.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b w:val="1"/>
                <w:bCs w:val="1"/>
                <w:sz w:val="18"/>
                <w:szCs w:val="18"/>
                <w:rtl w:val="0"/>
              </w:rPr>
              <w:t xml:space="preserve">Stage 6 — Health-worker review</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Before patient leaves</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Health worker checks the result, considers red flags and clinical context, then confirms or overrides the automated output.</w:t>
            </w:r>
            <w:r w:rsidDel="00000000" w:rsidR="00000000" w:rsidRPr="00000000">
              <w:rPr>
                <w:rtl w:val="0"/>
              </w:rPr>
            </w:r>
          </w:p>
        </w:tc>
      </w:tr>
    </w:tbl>
    <w:p w:rsidR="00000000" w:rsidDel="00000000" w:rsidP="00000000" w:rsidRDefault="00000000" w:rsidRPr="00000000" w14:paraId="00000068">
      <w:pPr>
        <w:pStyle w:val="Heading1"/>
        <w:rPr/>
      </w:pPr>
      <w:r w:rsidDel="00000000" w:rsidR="00000000" w:rsidRPr="00000000">
        <w:rPr>
          <w:rtl w:val="0"/>
        </w:rPr>
        <w:t xml:space="preserve">7. Camera vs IMU for This OA Use Case</w:t>
      </w:r>
    </w:p>
    <w:p w:rsidR="00000000" w:rsidDel="00000000" w:rsidP="00000000" w:rsidRDefault="00000000" w:rsidRPr="00000000" w14:paraId="00000069">
      <w:pPr>
        <w:rPr/>
      </w:pPr>
      <w:r w:rsidDel="00000000" w:rsidR="00000000" w:rsidRPr="00000000">
        <w:rPr>
          <w:rtl w:val="0"/>
        </w:rPr>
        <w:t xml:space="preserve">The earlier supplied smart-campus paper compares IMU and camera-based motion detection. Its findings are useful for engineering design, but it is not an OA-specific study and does not establish which modality has higher diagnostic accuracy for OA. The distinction becomes important because this project uses a single-person controlled assessment rather than large-area surveillance.</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6A">
            <w:pPr>
              <w:rPr/>
            </w:pPr>
            <w:r w:rsidDel="00000000" w:rsidR="00000000" w:rsidRPr="00000000">
              <w:rPr>
                <w:b w:val="1"/>
                <w:bCs w:val="1"/>
                <w:sz w:val="18"/>
                <w:szCs w:val="18"/>
                <w:rtl w:val="0"/>
              </w:rPr>
              <w:t xml:space="preserve">Criterion</w:t>
            </w:r>
            <w:r w:rsidDel="00000000" w:rsidR="00000000" w:rsidRPr="00000000">
              <w:rPr>
                <w:rtl w:val="0"/>
              </w:rPr>
            </w:r>
          </w:p>
        </w:tc>
        <w:tc>
          <w:tcPr>
            <w:shd w:fill="d9eaf7" w:val="clear"/>
            <w:vAlign w:val="center"/>
          </w:tcPr>
          <w:p w:rsidR="00000000" w:rsidDel="00000000" w:rsidP="00000000" w:rsidRDefault="00000000" w:rsidRPr="00000000" w14:paraId="0000006B">
            <w:pPr>
              <w:rPr/>
            </w:pPr>
            <w:r w:rsidDel="00000000" w:rsidR="00000000" w:rsidRPr="00000000">
              <w:rPr>
                <w:b w:val="1"/>
                <w:bCs w:val="1"/>
                <w:sz w:val="18"/>
                <w:szCs w:val="18"/>
                <w:rtl w:val="0"/>
              </w:rPr>
              <w:t xml:space="preserve">Camera-based pose analysis</w:t>
            </w:r>
            <w:r w:rsidDel="00000000" w:rsidR="00000000" w:rsidRPr="00000000">
              <w:rPr>
                <w:rtl w:val="0"/>
              </w:rPr>
            </w:r>
          </w:p>
        </w:tc>
        <w:tc>
          <w:tcPr>
            <w:shd w:fill="d9eaf7" w:val="clear"/>
            <w:vAlign w:val="center"/>
          </w:tcPr>
          <w:p w:rsidR="00000000" w:rsidDel="00000000" w:rsidP="00000000" w:rsidRDefault="00000000" w:rsidRPr="00000000" w14:paraId="0000006C">
            <w:pPr>
              <w:rPr/>
            </w:pPr>
            <w:r w:rsidDel="00000000" w:rsidR="00000000" w:rsidRPr="00000000">
              <w:rPr>
                <w:b w:val="1"/>
                <w:bCs w:val="1"/>
                <w:sz w:val="18"/>
                <w:szCs w:val="18"/>
                <w:rtl w:val="0"/>
              </w:rPr>
              <w:t xml:space="preserve">IMU-based kinematics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Single-person OA test</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0"/>
                <w:bCs w:val="0"/>
                <w:sz w:val="18"/>
                <w:szCs w:val="18"/>
                <w:rtl w:val="0"/>
              </w:rPr>
              <w:t xml:space="preserve">Well suited to controlled assessment</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Well suited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b w:val="0"/>
                <w:bCs w:val="0"/>
                <w:sz w:val="18"/>
                <w:szCs w:val="18"/>
                <w:rtl w:val="0"/>
              </w:rPr>
              <w:t xml:space="preserve">Large field of view</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b w:val="0"/>
                <w:bCs w:val="0"/>
                <w:sz w:val="18"/>
                <w:szCs w:val="18"/>
                <w:rtl w:val="0"/>
              </w:rPr>
              <w:t xml:space="preserve">Not required; fixed framing is sufficient</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b w:val="0"/>
                <w:bCs w:val="0"/>
                <w:sz w:val="18"/>
                <w:szCs w:val="18"/>
                <w:rtl w:val="0"/>
              </w:rPr>
              <w:t xml:space="preserve">Not relevant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b w:val="0"/>
                <w:bCs w:val="0"/>
                <w:sz w:val="18"/>
                <w:szCs w:val="18"/>
                <w:rtl w:val="0"/>
              </w:rPr>
              <w:t xml:space="preserve">Joint angle / posture</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b w:val="0"/>
                <w:bCs w:val="0"/>
                <w:sz w:val="18"/>
                <w:szCs w:val="18"/>
                <w:rtl w:val="0"/>
              </w:rPr>
              <w:t xml:space="preserve">Direct visual pose landmarks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b w:val="0"/>
                <w:bCs w:val="0"/>
                <w:sz w:val="18"/>
                <w:szCs w:val="18"/>
                <w:rtl w:val="0"/>
              </w:rPr>
              <w:t xml:space="preserve">Derived from sensor orientation/fusion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b w:val="0"/>
                <w:bCs w:val="0"/>
                <w:sz w:val="18"/>
                <w:szCs w:val="18"/>
                <w:rtl w:val="0"/>
              </w:rPr>
              <w:t xml:space="preserve">Gait / acceleration</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0"/>
                <w:bCs w:val="0"/>
                <w:sz w:val="18"/>
                <w:szCs w:val="18"/>
                <w:rtl w:val="0"/>
              </w:rPr>
              <w:t xml:space="preserve">Can infer movement from video</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b w:val="0"/>
                <w:bCs w:val="0"/>
                <w:sz w:val="18"/>
                <w:szCs w:val="18"/>
                <w:rtl w:val="0"/>
              </w:rPr>
              <w:t xml:space="preserve">Direct numerical inertial signal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b w:val="0"/>
                <w:bCs w:val="0"/>
                <w:sz w:val="18"/>
                <w:szCs w:val="18"/>
                <w:rtl w:val="0"/>
              </w:rPr>
              <w:t xml:space="preserve">Lighting</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b w:val="0"/>
                <w:bCs w:val="0"/>
                <w:sz w:val="18"/>
                <w:szCs w:val="18"/>
                <w:rtl w:val="0"/>
              </w:rPr>
              <w:t xml:space="preserve">Can affect image quality</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8"/>
                <w:szCs w:val="18"/>
                <w:rtl w:val="0"/>
              </w:rPr>
              <w:t xml:space="preserve">Independent of lighting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b w:val="0"/>
                <w:bCs w:val="0"/>
                <w:sz w:val="18"/>
                <w:szCs w:val="18"/>
                <w:rtl w:val="0"/>
              </w:rPr>
              <w:t xml:space="preserve">Wearability</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8"/>
                <w:szCs w:val="18"/>
                <w:rtl w:val="0"/>
              </w:rPr>
              <w:t xml:space="preserve">No body-worn sensor required</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Sensors must be attached consistently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Privacy</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Visual data creates higher privacy requirements</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Non-visual motion data reduces visual privacy exposure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b w:val="0"/>
                <w:bCs w:val="0"/>
                <w:sz w:val="18"/>
                <w:szCs w:val="18"/>
                <w:rtl w:val="0"/>
              </w:rPr>
              <w:t xml:space="preserve">Drift</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No IMU drift</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Sensor drift/recalibration must be managed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Compute</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Pose estimation can require more compute</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Generally lightweight signal 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Field deployment</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Strong when a controlled test area is available</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Strong when portability and lighting independence matter</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t xml:space="preserve">For this specific project, a single-camera setup is technically reasonable because the assessment is limited to one person and does not require campus-scale coverage. A fixed camera at a marked distance can simplify framing and make pose estimation more repeatable. However, the camera-derived Q-angle and valgus measurements should be treated as research estimates until validated against physiotherapist measurements.</w:t>
      </w:r>
    </w:p>
    <w:p w:rsidR="00000000" w:rsidDel="00000000" w:rsidP="00000000" w:rsidRDefault="00000000" w:rsidRPr="00000000" w14:paraId="0000008C">
      <w:pPr>
        <w:rPr/>
      </w:pPr>
      <w:r w:rsidDel="00000000" w:rsidR="00000000" w:rsidRPr="00000000">
        <w:rPr>
          <w:rtl w:val="0"/>
        </w:rPr>
        <w:t xml:space="preserve">An IMU layer remains valuable as a complementary modality, especially for gait and acceleration signals or when screening must work in uncontrolled lighting. A hybrid camera + IMU design can therefore be positioned as a future/validation enhancement rather than an unnecessarily complex requirement for the first prototype.</w:t>
      </w:r>
    </w:p>
    <w:p w:rsidR="00000000" w:rsidDel="00000000" w:rsidP="00000000" w:rsidRDefault="00000000" w:rsidRPr="00000000" w14:paraId="0000008D">
      <w:pPr>
        <w:pStyle w:val="Heading1"/>
        <w:rPr/>
      </w:pPr>
      <w:r w:rsidDel="00000000" w:rsidR="00000000" w:rsidRPr="00000000">
        <w:rPr>
          <w:rtl w:val="0"/>
        </w:rPr>
        <w:t xml:space="preserve">8. Proposed Hardware Kit</w:t>
      </w:r>
    </w:p>
    <w:tbl>
      <w:tblPr>
        <w:tblStyle w:val="Table5"/>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8E">
            <w:pPr>
              <w:rPr/>
            </w:pPr>
            <w:r w:rsidDel="00000000" w:rsidR="00000000" w:rsidRPr="00000000">
              <w:rPr>
                <w:b w:val="1"/>
                <w:bCs w:val="1"/>
                <w:sz w:val="18"/>
                <w:szCs w:val="18"/>
                <w:rtl w:val="0"/>
              </w:rPr>
              <w:t xml:space="preserve">Component</w:t>
            </w:r>
            <w:r w:rsidDel="00000000" w:rsidR="00000000" w:rsidRPr="00000000">
              <w:rPr>
                <w:rtl w:val="0"/>
              </w:rPr>
            </w:r>
          </w:p>
        </w:tc>
        <w:tc>
          <w:tcPr>
            <w:shd w:fill="d9eaf7" w:val="clear"/>
            <w:vAlign w:val="center"/>
          </w:tcPr>
          <w:p w:rsidR="00000000" w:rsidDel="00000000" w:rsidP="00000000" w:rsidRDefault="00000000" w:rsidRPr="00000000" w14:paraId="0000008F">
            <w:pPr>
              <w:rPr/>
            </w:pPr>
            <w:r w:rsidDel="00000000" w:rsidR="00000000" w:rsidRPr="00000000">
              <w:rPr>
                <w:b w:val="1"/>
                <w:bCs w:val="1"/>
                <w:sz w:val="18"/>
                <w:szCs w:val="18"/>
                <w:rtl w:val="0"/>
              </w:rPr>
              <w:t xml:space="preserve">Purpose</w:t>
            </w:r>
            <w:r w:rsidDel="00000000" w:rsidR="00000000" w:rsidRPr="00000000">
              <w:rPr>
                <w:rtl w:val="0"/>
              </w:rPr>
            </w:r>
          </w:p>
        </w:tc>
        <w:tc>
          <w:tcPr>
            <w:shd w:fill="d9eaf7" w:val="clear"/>
            <w:vAlign w:val="center"/>
          </w:tcPr>
          <w:p w:rsidR="00000000" w:rsidDel="00000000" w:rsidP="00000000" w:rsidRDefault="00000000" w:rsidRPr="00000000" w14:paraId="00000090">
            <w:pPr>
              <w:rPr/>
            </w:pPr>
            <w:r w:rsidDel="00000000" w:rsidR="00000000" w:rsidRPr="00000000">
              <w:rPr>
                <w:b w:val="1"/>
                <w:bCs w:val="1"/>
                <w:sz w:val="18"/>
                <w:szCs w:val="18"/>
                <w:rtl w:val="0"/>
              </w:rPr>
              <w:t xml:space="preserve">Core/Optional</w:t>
            </w:r>
            <w:r w:rsidDel="00000000" w:rsidR="00000000" w:rsidRPr="00000000">
              <w:rPr>
                <w:rtl w:val="0"/>
              </w:rPr>
            </w:r>
          </w:p>
        </w:tc>
        <w:tc>
          <w:tcPr>
            <w:shd w:fill="d9eaf7" w:val="clear"/>
            <w:vAlign w:val="center"/>
          </w:tcPr>
          <w:p w:rsidR="00000000" w:rsidDel="00000000" w:rsidP="00000000" w:rsidRDefault="00000000" w:rsidRPr="00000000" w14:paraId="00000091">
            <w:pPr>
              <w:rPr/>
            </w:pPr>
            <w:r w:rsidDel="00000000" w:rsidR="00000000" w:rsidRPr="00000000">
              <w:rPr>
                <w:b w:val="1"/>
                <w:bCs w:val="1"/>
                <w:sz w:val="18"/>
                <w:szCs w:val="18"/>
                <w:rtl w:val="0"/>
              </w:rPr>
              <w:t xml:space="preserve">Deployment note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Android phone/tablet</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App, questionnaire, local database and report</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Core</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Offline-first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Phone/RGB camera + tripod</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Pose and functional movement recording</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Core for camera pathway</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Fixed distance/marked position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Weighing scale</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Weight/BMI</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Core</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8"/>
                <w:szCs w:val="18"/>
                <w:rtl w:val="0"/>
              </w:rPr>
              <w:t xml:space="preserve">Portable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b w:val="0"/>
                <w:bCs w:val="0"/>
                <w:sz w:val="18"/>
                <w:szCs w:val="18"/>
                <w:rtl w:val="0"/>
              </w:rPr>
              <w:t xml:space="preserve">Stadiometer or measuring tape</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8"/>
                <w:szCs w:val="18"/>
                <w:rtl w:val="0"/>
              </w:rPr>
              <w:t xml:space="preserve">Height/BMI</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sz w:val="18"/>
                <w:szCs w:val="18"/>
                <w:rtl w:val="0"/>
              </w:rPr>
              <w:t xml:space="preserve">Core</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b w:val="0"/>
                <w:bCs w:val="0"/>
                <w:sz w:val="18"/>
                <w:szCs w:val="18"/>
                <w:rtl w:val="0"/>
              </w:rPr>
              <w:t xml:space="preserve">Portable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b w:val="0"/>
                <w:bCs w:val="0"/>
                <w:sz w:val="18"/>
                <w:szCs w:val="18"/>
                <w:rtl w:val="0"/>
              </w:rPr>
              <w:t xml:space="preserve">Chair + 3 m walking marker</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b w:val="0"/>
                <w:bCs w:val="0"/>
                <w:sz w:val="18"/>
                <w:szCs w:val="18"/>
                <w:rtl w:val="0"/>
              </w:rPr>
              <w:t xml:space="preserve">TUG test</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b w:val="0"/>
                <w:bCs w:val="0"/>
                <w:sz w:val="18"/>
                <w:szCs w:val="18"/>
                <w:rtl w:val="0"/>
              </w:rPr>
              <w:t xml:space="preserve">Core</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b w:val="0"/>
                <w:bCs w:val="0"/>
                <w:sz w:val="18"/>
                <w:szCs w:val="18"/>
                <w:rtl w:val="0"/>
              </w:rPr>
              <w:t xml:space="preserve">Standardize setup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b w:val="0"/>
                <w:bCs w:val="0"/>
                <w:sz w:val="18"/>
                <w:szCs w:val="18"/>
                <w:rtl w:val="0"/>
              </w:rPr>
              <w:t xml:space="preserve">Low fixed-height step</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b w:val="0"/>
                <w:bCs w:val="0"/>
                <w:sz w:val="18"/>
                <w:szCs w:val="18"/>
                <w:rtl w:val="0"/>
              </w:rPr>
              <w:t xml:space="preserve">Step-up/step-down</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b w:val="0"/>
                <w:bCs w:val="0"/>
                <w:sz w:val="18"/>
                <w:szCs w:val="18"/>
                <w:rtl w:val="0"/>
              </w:rPr>
              <w:t xml:space="preserve">Core</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b w:val="0"/>
                <w:bCs w:val="0"/>
                <w:sz w:val="18"/>
                <w:szCs w:val="18"/>
                <w:rtl w:val="0"/>
              </w:rPr>
              <w:t xml:space="preserve">Standardize height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2–3 low-cost IMUs</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b w:val="0"/>
                <w:bCs w:val="0"/>
                <w:sz w:val="18"/>
                <w:szCs w:val="18"/>
                <w:rtl w:val="0"/>
              </w:rPr>
              <w:t xml:space="preserve">Kinematic/acceleration sensing</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b w:val="0"/>
                <w:bCs w:val="0"/>
                <w:sz w:val="18"/>
                <w:szCs w:val="18"/>
                <w:rtl w:val="0"/>
              </w:rPr>
              <w:t xml:space="preserve">Optional/validation</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0"/>
                <w:bCs w:val="0"/>
                <w:sz w:val="18"/>
                <w:szCs w:val="18"/>
                <w:rtl w:val="0"/>
              </w:rPr>
              <w:t xml:space="preserve">Strap consistently to thigh/shank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b w:val="0"/>
                <w:bCs w:val="0"/>
                <w:sz w:val="18"/>
                <w:szCs w:val="18"/>
                <w:rtl w:val="0"/>
              </w:rPr>
              <w:t xml:space="preserve">Printer/SMS/app output</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sz w:val="18"/>
                <w:szCs w:val="18"/>
                <w:rtl w:val="0"/>
              </w:rPr>
              <w:t xml:space="preserve">Patient report</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Optional</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8"/>
                <w:szCs w:val="18"/>
                <w:rtl w:val="0"/>
              </w:rPr>
              <w:t xml:space="preserve">Digital output can reduce logistics</w:t>
            </w:r>
            <w:r w:rsidDel="00000000" w:rsidR="00000000" w:rsidRPr="00000000">
              <w:rPr>
                <w:rtl w:val="0"/>
              </w:rPr>
            </w:r>
          </w:p>
        </w:tc>
      </w:tr>
    </w:tbl>
    <w:p w:rsidR="00000000" w:rsidDel="00000000" w:rsidP="00000000" w:rsidRDefault="00000000" w:rsidRPr="00000000" w14:paraId="000000B2">
      <w:pPr>
        <w:pStyle w:val="Heading1"/>
        <w:rPr/>
      </w:pPr>
      <w:r w:rsidDel="00000000" w:rsidR="00000000" w:rsidRPr="00000000">
        <w:rPr>
          <w:rtl w:val="0"/>
        </w:rPr>
        <w:t xml:space="preserve">9. NER-Specific Deployment Strategy</w:t>
      </w:r>
    </w:p>
    <w:p w:rsidR="00000000" w:rsidDel="00000000" w:rsidP="00000000" w:rsidRDefault="00000000" w:rsidRPr="00000000" w14:paraId="000000B3">
      <w:pPr>
        <w:rPr/>
      </w:pPr>
      <w:r w:rsidDel="00000000" w:rsidR="00000000" w:rsidRPr="00000000">
        <w:rPr>
          <w:rtl w:val="0"/>
        </w:rPr>
        <w:t xml:space="preserve">The supplied research does not directly validate this architecture in North Eastern Region populations. Therefore, NER-specific suitability should be treated as an engineering hypothesis that requires local validation.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local-language support and audio/icon prompts where literacy may be a barrier.</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Design the workflow for community camps and primary-care settings with minimal specialist dependence.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the kit portable enough for decentralized screening.</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offline storage and delayed synchronization for areas with unreliable connectivity.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Collect local validation data with a regional medical college or orthopedic/physiotherapy partner.</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occupation and activity context because physical workload may differ substantially across communities.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assuming that thresholds derived from Western cohorts automatically transfer to NER populations.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a referral pathway so elevated results can reach appropriate clinical services.</w:t>
      </w:r>
    </w:p>
    <w:p w:rsidR="00000000" w:rsidDel="00000000" w:rsidP="00000000" w:rsidRDefault="00000000" w:rsidRPr="00000000" w14:paraId="000000BC">
      <w:pPr>
        <w:pStyle w:val="Heading1"/>
        <w:rPr/>
      </w:pPr>
      <w:r w:rsidDel="00000000" w:rsidR="00000000" w:rsidRPr="00000000">
        <w:rPr>
          <w:rtl w:val="0"/>
        </w:rPr>
        <w:t xml:space="preserve">10. Validation Plan</w:t>
      </w:r>
    </w:p>
    <w:p w:rsidR="00000000" w:rsidDel="00000000" w:rsidP="00000000" w:rsidRDefault="00000000" w:rsidRPr="00000000" w14:paraId="000000BD">
      <w:pPr>
        <w:rPr/>
      </w:pPr>
      <w:r w:rsidDel="00000000" w:rsidR="00000000" w:rsidRPr="00000000">
        <w:rPr>
          <w:rtl w:val="0"/>
        </w:rPr>
        <w:t xml:space="preserve">The strongest next step is not immediately deploying a high-complexity model; it is validating the measurements and workflow in stages.</w:t>
      </w:r>
    </w:p>
    <w:tbl>
      <w:tblPr>
        <w:tblStyle w:val="Table6"/>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BE">
            <w:pPr>
              <w:rPr/>
            </w:pPr>
            <w:r w:rsidDel="00000000" w:rsidR="00000000" w:rsidRPr="00000000">
              <w:rPr>
                <w:b w:val="1"/>
                <w:bCs w:val="1"/>
                <w:sz w:val="18"/>
                <w:szCs w:val="18"/>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0BF">
            <w:pPr>
              <w:rPr/>
            </w:pPr>
            <w:r w:rsidDel="00000000" w:rsidR="00000000" w:rsidRPr="00000000">
              <w:rPr>
                <w:b w:val="1"/>
                <w:bCs w:val="1"/>
                <w:sz w:val="18"/>
                <w:szCs w:val="18"/>
                <w:rtl w:val="0"/>
              </w:rPr>
              <w:t xml:space="preserve">Goal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b w:val="1"/>
                <w:bCs w:val="1"/>
                <w:sz w:val="18"/>
                <w:szCs w:val="18"/>
                <w:rtl w:val="0"/>
              </w:rPr>
              <w:t xml:space="preserve">Phase 1 — Measurement validation</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0"/>
                <w:bCs w:val="0"/>
                <w:sz w:val="18"/>
                <w:szCs w:val="18"/>
                <w:rtl w:val="0"/>
              </w:rPr>
              <w:t xml:space="preserve">Compare camera-derived knee angles, squat features and movement timing with physiotherapist measurements and standardized test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b w:val="1"/>
                <w:bCs w:val="1"/>
                <w:sz w:val="18"/>
                <w:szCs w:val="18"/>
                <w:rtl w:val="0"/>
              </w:rPr>
              <w:t xml:space="preserve">Phase 2 — Sensor validation</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8"/>
                <w:szCs w:val="18"/>
                <w:rtl w:val="0"/>
              </w:rPr>
              <w:t xml:space="preserve">Where IMUs are used, compare estimated kinematics with an accepted reference method under controlled activities.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b w:val="1"/>
                <w:bCs w:val="1"/>
                <w:sz w:val="18"/>
                <w:szCs w:val="18"/>
                <w:rtl w:val="0"/>
              </w:rPr>
              <w:t xml:space="preserve">Phase 3 — Local cohort collection</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b w:val="0"/>
                <w:bCs w:val="0"/>
                <w:sz w:val="18"/>
                <w:szCs w:val="18"/>
                <w:rtl w:val="0"/>
              </w:rPr>
              <w:t xml:space="preserve">Collect paired questionnaire, clinical examination, functional-test and sensor data from NER participants.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b w:val="1"/>
                <w:bCs w:val="1"/>
                <w:sz w:val="18"/>
                <w:szCs w:val="18"/>
                <w:rtl w:val="0"/>
              </w:rPr>
              <w:t xml:space="preserve">Phase 4 — Model development</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sz w:val="18"/>
                <w:szCs w:val="18"/>
                <w:rtl w:val="0"/>
              </w:rPr>
              <w:t xml:space="preserve">Train and cross-validate interpretable baseline models; compare against more complex models only when sample size supports them.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b w:val="1"/>
                <w:bCs w:val="1"/>
                <w:sz w:val="18"/>
                <w:szCs w:val="18"/>
                <w:rtl w:val="0"/>
              </w:rPr>
              <w:t xml:space="preserve">Phase 5 — Prospective validation</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b w:val="0"/>
                <w:bCs w:val="0"/>
                <w:sz w:val="18"/>
                <w:szCs w:val="18"/>
                <w:rtl w:val="0"/>
              </w:rPr>
              <w:t xml:space="preserve">Evaluate sensitivity, specificity, calibration, false-positive/false-negative behavior and usability in real screening camps.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b w:val="1"/>
                <w:bCs w:val="1"/>
                <w:sz w:val="18"/>
                <w:szCs w:val="18"/>
                <w:rtl w:val="0"/>
              </w:rPr>
              <w:t xml:space="preserve">Phase 6 — Clinical workflow validation</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8"/>
                <w:szCs w:val="18"/>
                <w:rtl w:val="0"/>
              </w:rPr>
              <w:t xml:space="preserve">Assess whether health workers can administer the protocol consistently and whether referral recommendations are followed appropriately.</w:t>
            </w:r>
            <w:r w:rsidDel="00000000" w:rsidR="00000000" w:rsidRPr="00000000">
              <w:rPr>
                <w:rtl w:val="0"/>
              </w:rPr>
            </w:r>
          </w:p>
        </w:tc>
      </w:tr>
    </w:tbl>
    <w:p w:rsidR="00000000" w:rsidDel="00000000" w:rsidP="00000000" w:rsidRDefault="00000000" w:rsidRPr="00000000" w14:paraId="000000CC">
      <w:pPr>
        <w:pStyle w:val="Heading1"/>
        <w:rPr/>
      </w:pPr>
      <w:r w:rsidDel="00000000" w:rsidR="00000000" w:rsidRPr="00000000">
        <w:rPr>
          <w:rtl w:val="0"/>
        </w:rPr>
        <w:t xml:space="preserve">11. Important Limitations and Responsible Claims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proposed system is a screening/triage tool, not a replacement for clinical diagnosis or indicated imaging.</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Camera-based Q-angle, squat and valgus measurements from a single 2D view are estimates and require validation against physiotherapist or other accepted reference measurements.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supplied IMU research includes small cohorts; reported performance cannot be generalized directly to the NER population.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MRI-based early-detection findings support the concept of measurable preclinical signatures but do not make MRI a practical component of this portable kit.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supplied source establishes that the proposed model will achieve a specific sensitivity, specificity or accuracy in NER; those metrics must come from local validation.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Risk thresholds should not be selected arbitrarily. They should be learned/validated against a clearly defined reference standard.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should include explicit red-flag escalation and human review rather than allowing an AI score to make the final clinical decision.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Any deployment that makes medical risk indications should be reviewed for applicable Indian medical-device, clinical, privacy and data-governance requirements.</w:t>
      </w:r>
    </w:p>
    <w:p w:rsidR="00000000" w:rsidDel="00000000" w:rsidP="00000000" w:rsidRDefault="00000000" w:rsidRPr="00000000" w14:paraId="000000D5">
      <w:pPr>
        <w:pStyle w:val="Heading1"/>
        <w:rPr/>
      </w:pPr>
      <w:r w:rsidDel="00000000" w:rsidR="00000000" w:rsidRPr="00000000">
        <w:rPr>
          <w:rtl w:val="0"/>
        </w:rPr>
        <w:t xml:space="preserve">12. Conclusion</w:t>
      </w:r>
    </w:p>
    <w:p w:rsidR="00000000" w:rsidDel="00000000" w:rsidP="00000000" w:rsidRDefault="00000000" w:rsidRPr="00000000" w14:paraId="000000D6">
      <w:pPr>
        <w:rPr/>
      </w:pPr>
      <w:r w:rsidDel="00000000" w:rsidR="00000000" w:rsidRPr="00000000">
        <w:rPr>
          <w:rtl w:val="0"/>
        </w:rPr>
        <w:t xml:space="preserve">The evidence assembled for this project supports a layered OA screening strategy rather than a single diagnostic technology. The most defensible foundation is a structured clinical and functional assessment, because symptoms, risk factors and physical function can provide substantial screening information without immediately requiring advanced imaging.</w:t>
      </w:r>
    </w:p>
    <w:p w:rsidR="00000000" w:rsidDel="00000000" w:rsidP="00000000" w:rsidRDefault="00000000" w:rsidRPr="00000000" w14:paraId="000000D7">
      <w:pPr>
        <w:rPr/>
      </w:pPr>
      <w:r w:rsidDel="00000000" w:rsidR="00000000" w:rsidRPr="00000000">
        <w:rPr>
          <w:rtl w:val="0"/>
        </w:rPr>
        <w:t xml:space="preserve">For the engineering layer, camera-based pose estimation is particularly practical when a single patient performs standardized movements in a controlled setup. It avoids the need for a large field of view and can expose interpretable joint landmarks and movement patterns. IMUs offer a complementary advantage for direct inertial signals, portability and independence from lighting. The two approaches should therefore be treated as complementary rather than competitors in the long-term architecture.</w:t>
      </w:r>
    </w:p>
    <w:p w:rsidR="00000000" w:rsidDel="00000000" w:rsidP="00000000" w:rsidRDefault="00000000" w:rsidRPr="00000000" w14:paraId="000000D8">
      <w:pPr>
        <w:rPr/>
      </w:pPr>
      <w:r w:rsidDel="00000000" w:rsidR="00000000" w:rsidRPr="00000000">
        <w:rPr>
          <w:rtl w:val="0"/>
        </w:rPr>
        <w:t xml:space="preserve">For the North Eastern Region, the central innovation should be the complete workflow: portable assessment, multilingual guidance, offline-first operation, interpretable AI risk stratification, clear referral logic and local validation. The system should explicitly communicate that it identifies risk markers and supports triage; it should not claim to independently diagnose OA.</w:t>
      </w:r>
    </w:p>
    <w:p w:rsidR="00000000" w:rsidDel="00000000" w:rsidP="00000000" w:rsidRDefault="00000000" w:rsidRPr="00000000" w14:paraId="000000D9">
      <w:pPr>
        <w:pStyle w:val="Heading1"/>
        <w:rPr/>
      </w:pPr>
      <w:r w:rsidDel="00000000" w:rsidR="00000000" w:rsidRPr="00000000">
        <w:rPr>
          <w:rtl w:val="0"/>
        </w:rPr>
        <w:t xml:space="preserve">13. End-to-End System Flow</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 registration</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Age / sex / height / weight → BMI</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Validated symptom and function questionnaire</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Guided physical assessment</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TUG + squat + alignment + step-up/step-down</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Camera pose features and/or IMU kinematics</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Feature preprocessing and quality checks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Interpretable AI risk model</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Three-tier risk stratification</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Red-flag check</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Health-worker review</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Preventive guidance / PT monitoring / clinical referral</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Offline record storage → synchronization when connectivity returns</w:t>
      </w:r>
    </w:p>
    <w:p w:rsidR="00000000" w:rsidDel="00000000" w:rsidP="00000000" w:rsidRDefault="00000000" w:rsidRPr="00000000" w14:paraId="000000E7">
      <w:pPr>
        <w:pStyle w:val="Heading1"/>
        <w:rPr/>
      </w:pPr>
      <w:r w:rsidDel="00000000" w:rsidR="00000000" w:rsidRPr="00000000">
        <w:rPr>
          <w:rtl w:val="0"/>
        </w:rPr>
        <w:t xml:space="preserve">14. Key Research Questions for the Next Stage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combination of functional, symptom, anthropometric and kinematic features provides the best screening value?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a fixed single-camera protocol measure knee angle and movement features reliably enough for field screening?</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much additional predictive information do IMUs provide beyond camera-derived features?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model family performs best on a small, locally collected NER dataset while remaining interpretable?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thresholds produce clinically useful triage without excessive false positives or missed high-risk cases?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do occupation, baseline activity, age and body characteristics affect model calibration in NER populations?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the complete screening protocol be administered consistently by trained non-specialist health workers?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connectivity, language, privacy and referral requirements are necessary for sustainable field deployment?</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15. Supplied Research Sources</w:t>
      </w:r>
    </w:p>
    <w:p w:rsidR="00000000" w:rsidDel="00000000" w:rsidP="00000000" w:rsidRDefault="00000000" w:rsidRPr="00000000" w14:paraId="000000F2">
      <w:pPr>
        <w:spacing w:after="100" w:lineRule="auto"/>
        <w:rPr/>
      </w:pPr>
      <w:r w:rsidDel="00000000" w:rsidR="00000000" w:rsidRPr="00000000">
        <w:rPr>
          <w:b w:val="1"/>
          <w:bCs w:val="1"/>
          <w:rtl w:val="0"/>
        </w:rPr>
        <w:t xml:space="preserve">PMC3446496 — </w:t>
      </w:r>
      <w:hyperlink r:id="rId6">
        <w:r w:rsidDel="00000000" w:rsidR="00000000" w:rsidRPr="00000000">
          <w:rPr>
            <w:color w:val="0563c1"/>
            <w:u w:val="single"/>
            <w:rtl w:val="0"/>
          </w:rPr>
          <w:t xml:space="preserve">https://pmc.ncbi.nlm.nih.gov/articles/PMC3446496/</w:t>
        </w:r>
      </w:hyperlink>
      <w:r w:rsidDel="00000000" w:rsidR="00000000" w:rsidRPr="00000000">
        <w:rPr>
          <w:rtl w:val="0"/>
        </w:rPr>
        <w:br w:type="textWrapping"/>
        <w:t xml:space="preserve">Early OA / diagnosis and limitations of conventional radiography.</w:t>
      </w:r>
    </w:p>
    <w:p w:rsidR="00000000" w:rsidDel="00000000" w:rsidP="00000000" w:rsidRDefault="00000000" w:rsidRPr="00000000" w14:paraId="000000F3">
      <w:pPr>
        <w:spacing w:after="100" w:lineRule="auto"/>
        <w:rPr/>
      </w:pPr>
      <w:r w:rsidDel="00000000" w:rsidR="00000000" w:rsidRPr="00000000">
        <w:rPr>
          <w:b w:val="1"/>
          <w:bCs w:val="1"/>
          <w:rtl w:val="0"/>
        </w:rPr>
        <w:t xml:space="preserve">PMC4632144 — </w:t>
      </w:r>
      <w:hyperlink r:id="rId7">
        <w:r w:rsidDel="00000000" w:rsidR="00000000" w:rsidRPr="00000000">
          <w:rPr>
            <w:color w:val="0563c1"/>
            <w:u w:val="single"/>
            <w:rtl w:val="0"/>
          </w:rPr>
          <w:t xml:space="preserve">https://pmc.ncbi.nlm.nih.gov/articles/PMC4632144/</w:t>
        </w:r>
      </w:hyperlink>
      <w:r w:rsidDel="00000000" w:rsidR="00000000" w:rsidRPr="00000000">
        <w:rPr>
          <w:rtl w:val="0"/>
        </w:rPr>
        <w:br w:type="textWrapping"/>
        <w:t xml:space="preserve">Pre-OA / early structural changes and imaging context.</w:t>
      </w:r>
    </w:p>
    <w:p w:rsidR="00000000" w:rsidDel="00000000" w:rsidP="00000000" w:rsidRDefault="00000000" w:rsidRPr="00000000" w14:paraId="000000F4">
      <w:pPr>
        <w:spacing w:after="100" w:lineRule="auto"/>
        <w:rPr/>
      </w:pPr>
      <w:r w:rsidDel="00000000" w:rsidR="00000000" w:rsidRPr="00000000">
        <w:rPr>
          <w:b w:val="1"/>
          <w:bCs w:val="1"/>
          <w:rtl w:val="0"/>
        </w:rPr>
        <w:t xml:space="preserve">PMC4481392 — </w:t>
      </w:r>
      <w:hyperlink r:id="rId8">
        <w:r w:rsidDel="00000000" w:rsidR="00000000" w:rsidRPr="00000000">
          <w:rPr>
            <w:color w:val="0563c1"/>
            <w:u w:val="single"/>
            <w:rtl w:val="0"/>
          </w:rPr>
          <w:t xml:space="preserve">https://pmc.ncbi.nlm.nih.gov/articles/PMC4481392/</w:t>
        </w:r>
      </w:hyperlink>
      <w:r w:rsidDel="00000000" w:rsidR="00000000" w:rsidRPr="00000000">
        <w:rPr>
          <w:rtl w:val="0"/>
        </w:rPr>
        <w:br w:type="textWrapping"/>
        <w:t xml:space="preserve">Pre-OA concept and early disease framework.</w:t>
      </w:r>
    </w:p>
    <w:p w:rsidR="00000000" w:rsidDel="00000000" w:rsidP="00000000" w:rsidRDefault="00000000" w:rsidRPr="00000000" w14:paraId="000000F5">
      <w:pPr>
        <w:spacing w:after="100" w:lineRule="auto"/>
        <w:rPr/>
      </w:pPr>
      <w:r w:rsidDel="00000000" w:rsidR="00000000" w:rsidRPr="00000000">
        <w:rPr>
          <w:b w:val="1"/>
          <w:bCs w:val="1"/>
          <w:rtl w:val="0"/>
        </w:rPr>
        <w:t xml:space="preserve">PMC7547154 — </w:t>
      </w:r>
      <w:hyperlink r:id="rId9">
        <w:r w:rsidDel="00000000" w:rsidR="00000000" w:rsidRPr="00000000">
          <w:rPr>
            <w:color w:val="0563c1"/>
            <w:u w:val="single"/>
            <w:rtl w:val="0"/>
          </w:rPr>
          <w:t xml:space="preserve">https://pmc.ncbi.nlm.nih.gov/articles/PMC7547154/</w:t>
        </w:r>
      </w:hyperlink>
      <w:r w:rsidDel="00000000" w:rsidR="00000000" w:rsidRPr="00000000">
        <w:rPr>
          <w:rtl w:val="0"/>
        </w:rPr>
        <w:br w:type="textWrapping"/>
        <w:t xml:space="preserve">MRI texture/phenotype and prediction of future OA progression.</w:t>
      </w:r>
    </w:p>
    <w:p w:rsidR="00000000" w:rsidDel="00000000" w:rsidP="00000000" w:rsidRDefault="00000000" w:rsidRPr="00000000" w14:paraId="000000F6">
      <w:pPr>
        <w:spacing w:after="100" w:lineRule="auto"/>
        <w:rPr/>
      </w:pPr>
      <w:r w:rsidDel="00000000" w:rsidR="00000000" w:rsidRPr="00000000">
        <w:rPr>
          <w:b w:val="1"/>
          <w:bCs w:val="1"/>
          <w:rtl w:val="0"/>
        </w:rPr>
        <w:t xml:space="preserve">PMC8781640 — </w:t>
      </w:r>
      <w:hyperlink r:id="rId10">
        <w:r w:rsidDel="00000000" w:rsidR="00000000" w:rsidRPr="00000000">
          <w:rPr>
            <w:color w:val="0563c1"/>
            <w:u w:val="single"/>
            <w:rtl w:val="0"/>
          </w:rPr>
          <w:t xml:space="preserve">https://pmc.ncbi.nlm.nih.gov/articles/PMC8781640/</w:t>
        </w:r>
      </w:hyperlink>
      <w:r w:rsidDel="00000000" w:rsidR="00000000" w:rsidRPr="00000000">
        <w:rPr>
          <w:rtl w:val="0"/>
        </w:rPr>
        <w:br w:type="textWrapping"/>
        <w:t xml:space="preserve">IMU/deep-learning estimation of knee kinematics during functional activities.</w:t>
      </w:r>
    </w:p>
    <w:p w:rsidR="00000000" w:rsidDel="00000000" w:rsidP="00000000" w:rsidRDefault="00000000" w:rsidRPr="00000000" w14:paraId="000000F7">
      <w:pPr>
        <w:spacing w:after="100" w:lineRule="auto"/>
        <w:rPr/>
      </w:pPr>
      <w:r w:rsidDel="00000000" w:rsidR="00000000" w:rsidRPr="00000000">
        <w:rPr>
          <w:b w:val="1"/>
          <w:bCs w:val="1"/>
          <w:rtl w:val="0"/>
        </w:rPr>
        <w:t xml:space="preserve">BCMJ — How to approach the diagnosis of knee osteoarthritis — </w:t>
      </w:r>
      <w:hyperlink r:id="rId11">
        <w:r w:rsidDel="00000000" w:rsidR="00000000" w:rsidRPr="00000000">
          <w:rPr>
            <w:color w:val="0563c1"/>
            <w:u w:val="single"/>
            <w:rtl w:val="0"/>
          </w:rPr>
          <w:t xml:space="preserve">https://bcmj.org/articles/how-approach-diagnosis-knee-osteoarthritis</w:t>
        </w:r>
      </w:hyperlink>
      <w:r w:rsidDel="00000000" w:rsidR="00000000" w:rsidRPr="00000000">
        <w:rPr>
          <w:rtl w:val="0"/>
        </w:rPr>
        <w:br w:type="textWrapping"/>
        <w:t xml:space="preserve">Clinical diagnostic approach and selective use of imaging.</w:t>
      </w:r>
    </w:p>
    <w:p w:rsidR="00000000" w:rsidDel="00000000" w:rsidP="00000000" w:rsidRDefault="00000000" w:rsidRPr="00000000" w14:paraId="000000F8">
      <w:pPr>
        <w:spacing w:after="100" w:lineRule="auto"/>
        <w:rPr/>
      </w:pPr>
      <w:r w:rsidDel="00000000" w:rsidR="00000000" w:rsidRPr="00000000">
        <w:rPr>
          <w:b w:val="1"/>
          <w:bCs w:val="1"/>
          <w:rtl w:val="0"/>
        </w:rPr>
        <w:t xml:space="preserve">2026 OA Guideline Summary — </w:t>
      </w:r>
      <w:hyperlink r:id="rId12">
        <w:r w:rsidDel="00000000" w:rsidR="00000000" w:rsidRPr="00000000">
          <w:rPr>
            <w:color w:val="0563c1"/>
            <w:u w:val="single"/>
            <w:rtl w:val="0"/>
          </w:rPr>
          <w:t xml:space="preserve">https://assets.contentstack.io/v3/assets/bltee37abb6b278ab2c/bltb3d12c34020da842/oa-guideline-summary-2026.pdf</w:t>
        </w:r>
      </w:hyperlink>
      <w:r w:rsidDel="00000000" w:rsidR="00000000" w:rsidRPr="00000000">
        <w:rPr>
          <w:rtl w:val="0"/>
        </w:rPr>
        <w:br w:type="textWrapping"/>
        <w:t xml:space="preserve">Current management guidance used for preventive/management pathway design.</w:t>
      </w:r>
    </w:p>
    <w:p w:rsidR="00000000" w:rsidDel="00000000" w:rsidP="00000000" w:rsidRDefault="00000000" w:rsidRPr="00000000" w14:paraId="000000F9">
      <w:pPr>
        <w:spacing w:after="100" w:lineRule="auto"/>
        <w:rPr/>
      </w:pPr>
      <w:r w:rsidDel="00000000" w:rsidR="00000000" w:rsidRPr="00000000">
        <w:rPr>
          <w:b w:val="1"/>
          <w:bCs w:val="1"/>
          <w:rtl w:val="0"/>
        </w:rPr>
        <w:t xml:space="preserve">PMC280702 — </w:t>
      </w:r>
      <w:hyperlink r:id="rId13">
        <w:r w:rsidDel="00000000" w:rsidR="00000000" w:rsidRPr="00000000">
          <w:rPr>
            <w:color w:val="0563c1"/>
            <w:u w:val="single"/>
            <w:rtl w:val="0"/>
          </w:rPr>
          <w:t xml:space="preserve">https://pmc.ncbi.nlm.nih.gov/articles/PMC280702/</w:t>
        </w:r>
      </w:hyperlink>
      <w:r w:rsidDel="00000000" w:rsidR="00000000" w:rsidRPr="00000000">
        <w:rPr>
          <w:rtl w:val="0"/>
        </w:rPr>
        <w:br w:type="textWrapping"/>
        <w:t xml:space="preserve">KOOS patient-reported outcome measure.</w:t>
      </w:r>
    </w:p>
    <w:p w:rsidR="00000000" w:rsidDel="00000000" w:rsidP="00000000" w:rsidRDefault="00000000" w:rsidRPr="00000000" w14:paraId="000000FA">
      <w:pPr>
        <w:spacing w:after="100" w:lineRule="auto"/>
        <w:rPr/>
      </w:pPr>
      <w:r w:rsidDel="00000000" w:rsidR="00000000" w:rsidRPr="00000000">
        <w:rPr>
          <w:b w:val="1"/>
          <w:bCs w:val="1"/>
          <w:rtl w:val="0"/>
        </w:rPr>
        <w:t xml:space="preserve">PMC12633563 — </w:t>
      </w:r>
      <w:hyperlink r:id="rId14">
        <w:r w:rsidDel="00000000" w:rsidR="00000000" w:rsidRPr="00000000">
          <w:rPr>
            <w:color w:val="0563c1"/>
            <w:u w:val="single"/>
            <w:rtl w:val="0"/>
          </w:rPr>
          <w:t xml:space="preserve">https://pmc.ncbi.nlm.nih.gov/articles/PMC12633563/#R29</w:t>
        </w:r>
      </w:hyperlink>
      <w:r w:rsidDel="00000000" w:rsidR="00000000" w:rsidRPr="00000000">
        <w:rPr>
          <w:rtl w:val="0"/>
        </w:rPr>
        <w:br w:type="textWrapping"/>
        <w:t xml:space="preserve">Recent body-worn IMU / knee flexion tracking research.</w:t>
      </w:r>
    </w:p>
    <w:p w:rsidR="00000000" w:rsidDel="00000000" w:rsidP="00000000" w:rsidRDefault="00000000" w:rsidRPr="00000000" w14:paraId="000000FB">
      <w:pPr>
        <w:spacing w:after="100" w:lineRule="auto"/>
        <w:rPr/>
      </w:pPr>
      <w:r w:rsidDel="00000000" w:rsidR="00000000" w:rsidRPr="00000000">
        <w:rPr>
          <w:b w:val="1"/>
          <w:bCs w:val="1"/>
          <w:rtl w:val="0"/>
        </w:rPr>
        <w:t xml:space="preserve">IJSEA 2025 — Comparative Analysis of IMU and Camera-Based Motion Detection Systems in Smart University Campuses — </w:t>
      </w:r>
      <w:hyperlink r:id="rId15">
        <w:r w:rsidDel="00000000" w:rsidR="00000000" w:rsidRPr="00000000">
          <w:rPr>
            <w:color w:val="0563c1"/>
            <w:u w:val="single"/>
            <w:rtl w:val="0"/>
          </w:rPr>
          <w:t xml:space="preserve">https://www.ijsea.com/</w:t>
        </w:r>
      </w:hyperlink>
      <w:r w:rsidDel="00000000" w:rsidR="00000000" w:rsidRPr="00000000">
        <w:rPr>
          <w:rtl w:val="0"/>
        </w:rPr>
        <w:br w:type="textWrapping"/>
        <w:t xml:space="preserve">Engineering comparison of IMU and camera motion sensing; supplied PDF reviewed separately.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i w:val="1"/>
          <w:iCs w:val="1"/>
          <w:sz w:val="18"/>
          <w:szCs w:val="18"/>
          <w:rtl w:val="0"/>
        </w:rPr>
        <w:t xml:space="preserve">Prepared as an evidence-informed research/design document for the proposed NER OA screening system.</w:t>
      </w:r>
      <w:r w:rsidDel="00000000" w:rsidR="00000000" w:rsidRPr="00000000">
        <w:rPr>
          <w:rtl w:val="0"/>
        </w:rPr>
      </w:r>
    </w:p>
    <w:sectPr>
      <w:footerReference r:id="rId1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OA NER Research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cmj.org/articles/how-approach-diagnosis-knee-osteoarthritis" TargetMode="External"/><Relationship Id="rId10" Type="http://schemas.openxmlformats.org/officeDocument/2006/relationships/hyperlink" Target="https://pmc.ncbi.nlm.nih.gov/articles/PMC8781640/" TargetMode="External"/><Relationship Id="rId13" Type="http://schemas.openxmlformats.org/officeDocument/2006/relationships/hyperlink" Target="https://pmc.ncbi.nlm.nih.gov/articles/PMC280702/" TargetMode="External"/><Relationship Id="rId12" Type="http://schemas.openxmlformats.org/officeDocument/2006/relationships/hyperlink" Target="https://assets.contentstack.io/v3/assets/bltee37abb6b278ab2c/bltb3d12c34020da842/oa-guideline-summary-202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7547154/" TargetMode="External"/><Relationship Id="rId15" Type="http://schemas.openxmlformats.org/officeDocument/2006/relationships/hyperlink" Target="https://www.ijsea.com/" TargetMode="External"/><Relationship Id="rId14" Type="http://schemas.openxmlformats.org/officeDocument/2006/relationships/hyperlink" Target="https://pmc.ncbi.nlm.nih.gov/articles/PMC12633563/#R29"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mc.ncbi.nlm.nih.gov/articles/PMC3446496/" TargetMode="External"/><Relationship Id="rId7" Type="http://schemas.openxmlformats.org/officeDocument/2006/relationships/hyperlink" Target="https://pmc.ncbi.nlm.nih.gov/articles/PMC4632144/" TargetMode="External"/><Relationship Id="rId8" Type="http://schemas.openxmlformats.org/officeDocument/2006/relationships/hyperlink" Target="https://pmc.ncbi.nlm.nih.gov/articles/PMC4481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