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F8FAFC"/>
          </w:tcPr>
          <w:p>
            <w:pPr>
              <w:spacing w:before="80" w:after="80"/>
              <w:jc w:val="center"/>
            </w:pPr>
            <w:r>
              <w:rPr>
                <w:rFonts w:ascii="Times New Roman" w:hAnsi="Times New Roman"/>
                <w:b/>
                <w:sz w:val="24"/>
              </w:rPr>
              <w:t>FORM 2</w:t>
              <w:br/>
              <w:t>THE PATENTS ACT, 1970 (39 of 1970)</w:t>
              <w:br/>
              <w:t>&amp;</w:t>
              <w:br/>
              <w:t>THE PATENTS RULES, 2003</w:t>
            </w:r>
          </w:p>
        </w:tc>
      </w:tr>
      <w:tr>
        <w:tc>
          <w:tcPr>
            <w:tcW w:type="dxa" w:w="9029"/>
            <w:shd w:fill="FFFFFF"/>
          </w:tcPr>
          <w:p>
            <w:pPr>
              <w:spacing w:before="80" w:after="80"/>
              <w:jc w:val="center"/>
            </w:pPr>
            <w:r>
              <w:rPr>
                <w:rFonts w:ascii="Times New Roman" w:hAnsi="Times New Roman"/>
                <w:b/>
                <w:sz w:val="24"/>
              </w:rPr>
              <w:t>COMPLETE SPECIFICATION</w:t>
              <w:br/>
              <w:t>(See section 10 and rule 13)</w:t>
            </w:r>
          </w:p>
        </w:tc>
      </w:tr>
      <w:tr>
        <w:tc>
          <w:tcPr>
            <w:tcW w:type="dxa" w:w="9029"/>
            <w:shd w:fill="F8FAFC"/>
          </w:tcPr>
          <w:p>
            <w:pPr>
              <w:spacing w:before="80" w:after="80"/>
              <w:jc w:val="left"/>
            </w:pPr>
            <w:r>
              <w:rPr>
                <w:rFonts w:ascii="Times New Roman" w:hAnsi="Times New Roman"/>
                <w:b/>
                <w:sz w:val="22"/>
              </w:rPr>
              <w:t>1. TITLE OF THE INVENTION:</w:t>
              <w:br/>
              <w:t>ADAPTIVE RUNTIME SECURITY CONSTRAINT COMPILATION AND DECISION SYSTEM FOR AUTOMATED INFRASTRUCTURE RESPONSE</w:t>
            </w:r>
          </w:p>
        </w:tc>
      </w:tr>
      <w:tr>
        <w:tc>
          <w:tcPr>
            <w:tcW w:type="dxa" w:w="9029"/>
            <w:shd w:fill="FFFFFF"/>
          </w:tcPr>
          <w:p>
            <w:pPr>
              <w:spacing w:before="80" w:after="80"/>
              <w:jc w:val="left"/>
            </w:pPr>
            <w:r>
              <w:rPr>
                <w:rFonts w:ascii="Times New Roman" w:hAnsi="Times New Roman"/>
                <w:b/>
                <w:sz w:val="22"/>
              </w:rPr>
              <w:t>2. APPLICANT(S) &amp; INVENTOR(S):</w:t>
              <w:br/>
              <w:t>(a) Name: NAVEEN RAVI</w:t>
              <w:br/>
              <w:t>(b) Nationality: Indian</w:t>
              <w:br/>
              <w:t>(c) Address: India</w:t>
            </w:r>
          </w:p>
        </w:tc>
      </w:tr>
      <w:tr>
        <w:tc>
          <w:tcPr>
            <w:tcW w:type="dxa" w:w="9029"/>
            <w:shd w:fill="F8FAFC"/>
          </w:tcPr>
          <w:p>
            <w:pPr>
              <w:spacing w:before="80" w:after="80"/>
              <w:jc w:val="center"/>
            </w:pPr>
            <w:r>
              <w:rPr>
                <w:rFonts w:ascii="Times New Roman" w:hAnsi="Times New Roman"/>
                <w:b/>
                <w:sz w:val="22"/>
              </w:rPr>
              <w:t>3. PREAMBLE TO THE DESCRIPTION:</w:t>
              <w:br/>
              <w:t>THE FOLLOWING SPECIFICATION PARTICULARLY DESCRIBES THE INVENTION AND THE MANNER IN WHICH IT IS TO BE PERFORMED.</w:t>
            </w:r>
          </w:p>
        </w:tc>
      </w:tr>
    </w:tbl>
    <w:p>
      <w:pPr>
        <w:spacing w:after="280"/>
      </w:pPr>
    </w:p>
    <w:p>
      <w:pPr>
        <w:keepNext/>
        <w:spacing w:before="280" w:after="120"/>
      </w:pPr>
      <w:r>
        <w:rPr>
          <w:rFonts w:ascii="Times New Roman" w:hAnsi="Times New Roman"/>
          <w:b/>
          <w:color w:val="1E3A8A"/>
          <w:sz w:val="27"/>
        </w:rPr>
        <w:t>4. FIELD OF THE INVENTION</w:t>
      </w:r>
    </w:p>
    <w:p>
      <w:pPr>
        <w:spacing w:before="40" w:after="80" w:line="300" w:lineRule="auto"/>
      </w:pPr>
      <w:r>
        <w:rPr>
          <w:rFonts w:ascii="Times New Roman" w:hAnsi="Times New Roman"/>
          <w:sz w:val="22"/>
        </w:rPr>
        <w:t>This invention relates to cybersecurity, information technology infrastructure protection, distributed machine learning, quantum computing, combinatorial optimization, and automated incident response orchestration.</w:t>
      </w:r>
    </w:p>
    <w:p>
      <w:pPr>
        <w:spacing w:before="40" w:after="80" w:line="300" w:lineRule="auto"/>
      </w:pPr>
      <w:r>
        <w:rPr>
          <w:rFonts w:ascii="Times New Roman" w:hAnsi="Times New Roman"/>
          <w:sz w:val="22"/>
        </w:rPr>
        <w:t>Specifically, the invention relates to a computer-implemented system and architecture for transforming runtime security state and heterogeneous asset operational context into a solver-independent Security Constraint Intermediate Representation (SC-IR) with explicit Hard vs. Soft constraint partitioning, verifying the representation against deterministic pre-solve safety invariants, compiling the verified representation into an incident-specific mathematical decision formulation, and solving the formulation via interchangeable quantum (QAOA/QUBO) or classical (ILP/CP-SAT) optimization engines. The system operates while preserving edge data privacy through localized parameter processing without transmitting raw telemetry to external networks, producing concrete technical improvements in the operation and security configuration of computing and network infrastructure.</w:t>
      </w:r>
    </w:p>
    <w:p>
      <w:pPr>
        <w:spacing w:before="40" w:after="80" w:line="300" w:lineRule="auto"/>
      </w:pPr>
      <w:r>
        <w:rPr>
          <w:rFonts w:ascii="Times New Roman" w:hAnsi="Times New Roman"/>
          <w:sz w:val="22"/>
        </w:rPr>
        <w:t>International Patent Classification (IPC):</w:t>
      </w:r>
    </w:p>
    <w:p>
      <w:pPr>
        <w:pStyle w:val="ListBullet"/>
        <w:spacing w:before="20" w:after="40"/>
      </w:pPr>
      <w:r>
        <w:rPr>
          <w:rFonts w:ascii="Times New Roman" w:hAnsi="Times New Roman"/>
          <w:sz w:val="22"/>
        </w:rPr>
        <w:t>G06F 21/55: Intrusion Detection &amp; Automated Response Systems</w:t>
      </w:r>
    </w:p>
    <w:p>
      <w:pPr>
        <w:pStyle w:val="ListBullet"/>
        <w:spacing w:before="20" w:after="40"/>
      </w:pPr>
      <w:r>
        <w:rPr>
          <w:rFonts w:ascii="Times New Roman" w:hAnsi="Times New Roman"/>
          <w:sz w:val="22"/>
        </w:rPr>
        <w:t>G06N 10/00: Quantum Computing, Variational Quantum Circuits &amp; QAOA</w:t>
      </w:r>
    </w:p>
    <w:p>
      <w:pPr>
        <w:pStyle w:val="ListBullet"/>
        <w:spacing w:before="20" w:after="40"/>
      </w:pPr>
      <w:r>
        <w:rPr>
          <w:rFonts w:ascii="Times New Roman" w:hAnsi="Times New Roman"/>
          <w:sz w:val="22"/>
        </w:rPr>
        <w:t>H04L 9/40: Distributed Network Security &amp; Privacy Preservation</w:t>
      </w:r>
    </w:p>
    <w:p>
      <w:pPr>
        <w:keepNext/>
        <w:spacing w:before="280" w:after="120"/>
      </w:pPr>
      <w:r>
        <w:rPr>
          <w:rFonts w:ascii="Times New Roman" w:hAnsi="Times New Roman"/>
          <w:b/>
          <w:color w:val="1E3A8A"/>
          <w:sz w:val="27"/>
        </w:rPr>
        <w:t>5. BACKGROUND OF THE INVENTION &amp; PRIOR ART</w:t>
      </w:r>
    </w:p>
    <w:p>
      <w:pPr>
        <w:keepNext/>
        <w:spacing w:before="200" w:after="80"/>
      </w:pPr>
      <w:r>
        <w:rPr>
          <w:rFonts w:ascii="Times New Roman" w:hAnsi="Times New Roman"/>
          <w:b/>
          <w:color w:val="0F172A"/>
          <w:sz w:val="24"/>
        </w:rPr>
        <w:t>A. Technical Problems Addressed</w:t>
      </w:r>
    </w:p>
    <w:p>
      <w:pPr>
        <w:spacing w:before="40" w:after="80" w:line="300" w:lineRule="auto"/>
      </w:pPr>
      <w:r>
        <w:rPr>
          <w:rFonts w:ascii="Times New Roman" w:hAnsi="Times New Roman"/>
          <w:sz w:val="22"/>
        </w:rPr>
        <w:t>Modern industrial IoT, edge computing networks, and cloud infrastructures generate high-throughput telemetry across multiple industrial and network protocols (Modbus TCP, MQTT, TCP/UDP, ARP, ICMP, HTTP, DNS). Conventional Security Orchestration, Automation, and Response (SOAR) platforms and Intrusion Detection Systems (IDS) suffer from four critical technical deficiencies:</w:t>
      </w:r>
    </w:p>
    <w:p>
      <w:pPr>
        <w:spacing w:before="40" w:after="60"/>
        <w:ind w:left="360"/>
      </w:pPr>
      <w:r>
        <w:rPr>
          <w:rFonts w:ascii="Times New Roman" w:hAnsi="Times New Roman"/>
          <w:b/>
          <w:sz w:val="22"/>
        </w:rPr>
        <w:t xml:space="preserve">1. </w:t>
      </w:r>
      <w:r>
        <w:rPr>
          <w:rFonts w:ascii="Times New Roman" w:hAnsi="Times New Roman"/>
          <w:sz w:val="22"/>
        </w:rPr>
        <w:t>Data Sovereignty &amp; Privacy Violations: Centralizing raw network traffic captures and sensor telemetry from edge nodes to cloud SIEM servers violates statutory data protection mandates including India's DPDP Act, 2023, IT Act, 2000 (Section 43A), and international privacy frameworks (GDPR, HIPAA).</w:t>
      </w:r>
    </w:p>
    <w:p>
      <w:pPr>
        <w:spacing w:before="40" w:after="60"/>
        <w:ind w:left="360"/>
      </w:pPr>
      <w:r>
        <w:rPr>
          <w:rFonts w:ascii="Times New Roman" w:hAnsi="Times New Roman"/>
          <w:b/>
          <w:sz w:val="22"/>
        </w:rPr>
        <w:t xml:space="preserve">2. </w:t>
      </w:r>
      <w:r>
        <w:rPr>
          <w:rFonts w:ascii="Times New Roman" w:hAnsi="Times New Roman"/>
          <w:sz w:val="22"/>
        </w:rPr>
        <w:t>Fixed-Formulation Limitations &amp; Optimization Soft Penalty Failures: Conventional automated response systems either employ static hardcoded rule branching or feed static variable domains into mathematical solvers using soft penalty offsets ($\pm 1000$ / $-500$). Under severe threat utility, soft penalties fail, causing optimizers to select catastrophic actions on critical infrastructure (such as isolating an industrial SCADA PLC or a hospital life-support database).</w:t>
      </w:r>
    </w:p>
    <w:p>
      <w:pPr>
        <w:spacing w:before="40" w:after="60"/>
        <w:ind w:left="360"/>
      </w:pPr>
      <w:r>
        <w:rPr>
          <w:rFonts w:ascii="Times New Roman" w:hAnsi="Times New Roman"/>
          <w:b/>
          <w:sz w:val="22"/>
        </w:rPr>
        <w:t xml:space="preserve">3. </w:t>
      </w:r>
      <w:r>
        <w:rPr>
          <w:rFonts w:ascii="Times New Roman" w:hAnsi="Times New Roman"/>
          <w:sz w:val="22"/>
        </w:rPr>
        <w:t>Absence of Solver-Independent Constraint Compilation: Optimization formulations are typically hardcoded to specific solver backends (e.g. exclusively QAOA or exclusively ILP). A change in solver architecture requires rewriting the entire security logic, lacking an intermediate canonical representation that verifies invariant safety prior to solver execution.</w:t>
      </w:r>
    </w:p>
    <w:p>
      <w:pPr>
        <w:spacing w:before="40" w:after="60"/>
        <w:ind w:left="360"/>
      </w:pPr>
      <w:r>
        <w:rPr>
          <w:rFonts w:ascii="Times New Roman" w:hAnsi="Times New Roman"/>
          <w:b/>
          <w:sz w:val="22"/>
        </w:rPr>
        <w:t xml:space="preserve">4. </w:t>
      </w:r>
      <w:r>
        <w:rPr>
          <w:rFonts w:ascii="Times New Roman" w:hAnsi="Times New Roman"/>
          <w:sz w:val="22"/>
        </w:rPr>
        <w:t>Decision Oscillation &amp; Uncontrolled Feedback in Sequential Control: Automated response agents frequently switch mitigation actions between consecutive evaluation cycles (oscillating between isolate and monitor), leading to operational instability in critical infrastructure. Furthermore, unconstrained learning systems risk adopting learned rules that mutate hard physical safety rules.</w:t>
      </w:r>
    </w:p>
    <w:p>
      <w:pPr>
        <w:keepNext/>
        <w:spacing w:before="200" w:after="80"/>
      </w:pPr>
      <w:r>
        <w:rPr>
          <w:rFonts w:ascii="Times New Roman" w:hAnsi="Times New Roman"/>
          <w:b/>
          <w:color w:val="0F172A"/>
          <w:sz w:val="24"/>
        </w:rPr>
        <w:t>B. Prior-Art Technical Comparison Matrix &amp; 4-Category Landscape</w:t>
      </w:r>
    </w:p>
    <w:p>
      <w:pPr>
        <w:spacing w:before="40" w:after="80" w:line="300" w:lineRule="auto"/>
      </w:pPr>
      <w:r>
        <w:rPr>
          <w:rFonts w:ascii="Times New Roman" w:hAnsi="Times New Roman"/>
          <w:sz w:val="22"/>
        </w:rPr>
        <w:t>The prior art across automated cybersecurity incident response, mathematical compilation, and quantum optimization falls into four intersecting categories:</w:t>
      </w:r>
    </w:p>
    <w:p>
      <w:pPr>
        <w:spacing w:before="40" w:after="60"/>
        <w:ind w:left="360"/>
      </w:pPr>
      <w:r>
        <w:rPr>
          <w:rFonts w:ascii="Times New Roman" w:hAnsi="Times New Roman"/>
          <w:b/>
          <w:sz w:val="22"/>
        </w:rPr>
        <w:t xml:space="preserve">1. </w:t>
      </w:r>
      <w:r>
        <w:rPr>
          <w:rFonts w:ascii="Times New Roman" w:hAnsi="Times New Roman"/>
          <w:sz w:val="22"/>
        </w:rPr>
        <w:t>Category 1: Dynamic Constraint Generation &amp; Network Policy Updates: Boeing (CA3139589A1), Microsoft (WO2023043598A1).</w:t>
      </w:r>
    </w:p>
    <w:p>
      <w:pPr>
        <w:spacing w:before="40" w:after="60"/>
        <w:ind w:left="360"/>
      </w:pPr>
      <w:r>
        <w:rPr>
          <w:rFonts w:ascii="Times New Roman" w:hAnsi="Times New Roman"/>
          <w:b/>
          <w:sz w:val="22"/>
        </w:rPr>
        <w:t xml:space="preserve">2. </w:t>
      </w:r>
      <w:r>
        <w:rPr>
          <w:rFonts w:ascii="Times New Roman" w:hAnsi="Times New Roman"/>
          <w:sz w:val="22"/>
        </w:rPr>
        <w:t>Category 2: Optimization Problem Compilation &amp; Hardware Mapping: D-Wave Systems (US10691771B2 — compiling ILP models to physical Ising hardware), Hybrid Quantum Optimization (US20230419155A1 — hybrid classical/quantum solver decomposition).</w:t>
      </w:r>
    </w:p>
    <w:p>
      <w:pPr>
        <w:spacing w:before="40" w:after="60"/>
        <w:ind w:left="360"/>
      </w:pPr>
      <w:r>
        <w:rPr>
          <w:rFonts w:ascii="Times New Roman" w:hAnsi="Times New Roman"/>
          <w:b/>
          <w:sz w:val="22"/>
        </w:rPr>
        <w:t xml:space="preserve">3. </w:t>
      </w:r>
      <w:r>
        <w:rPr>
          <w:rFonts w:ascii="Times New Roman" w:hAnsi="Times New Roman"/>
          <w:sz w:val="22"/>
        </w:rPr>
        <w:t>Category 3: Security Response &amp; Risk Control Optimization: MARISMA (Springer '23), MARISMA-CPS (ScienceDirect '22), APT SOAR (CN114070629B), IBM RAPID (ACSAC '22).</w:t>
      </w:r>
    </w:p>
    <w:p>
      <w:pPr>
        <w:spacing w:before="40" w:after="60"/>
        <w:ind w:left="360"/>
      </w:pPr>
      <w:r>
        <w:rPr>
          <w:rFonts w:ascii="Times New Roman" w:hAnsi="Times New Roman"/>
          <w:b/>
          <w:sz w:val="22"/>
        </w:rPr>
        <w:t xml:space="preserve">4. </w:t>
      </w:r>
      <w:r>
        <w:rPr>
          <w:rFonts w:ascii="Times New Roman" w:hAnsi="Times New Roman"/>
          <w:sz w:val="22"/>
        </w:rPr>
        <w:t>Category 4: Dynamic DAG Synthesis, Protocol Assembly &amp; Runtime Safety Verification: Prior-art distributed systems for dynamic component selection, DAG dependency construction, runtime parameter optimization, and formal verification.</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E2E8F0"/>
          </w:tcPr>
          <w:p>
            <w:pPr>
              <w:spacing w:before="60" w:after="60"/>
            </w:pPr>
            <w:r>
              <w:rPr>
                <w:rFonts w:ascii="Times New Roman" w:hAnsi="Times New Roman"/>
                <w:b/>
                <w:sz w:val="19"/>
              </w:rPr>
              <w:t>Technical Dimension</w:t>
            </w:r>
          </w:p>
        </w:tc>
        <w:tc>
          <w:tcPr>
            <w:tcW w:type="dxa" w:w="1003"/>
            <w:shd w:fill="E2E8F0"/>
          </w:tcPr>
          <w:p>
            <w:pPr>
              <w:spacing w:before="60" w:after="60"/>
            </w:pPr>
            <w:r>
              <w:rPr>
                <w:rFonts w:ascii="Times New Roman" w:hAnsi="Times New Roman"/>
                <w:b/>
                <w:sz w:val="19"/>
              </w:rPr>
              <w:t>MARISMA / MARISMA-CPS (Springer '23 / ScienceDirect '22)</w:t>
            </w:r>
          </w:p>
        </w:tc>
        <w:tc>
          <w:tcPr>
            <w:tcW w:type="dxa" w:w="1003"/>
            <w:shd w:fill="E2E8F0"/>
          </w:tcPr>
          <w:p>
            <w:pPr>
              <w:spacing w:before="60" w:after="60"/>
            </w:pPr>
            <w:r>
              <w:rPr>
                <w:rFonts w:ascii="Times New Roman" w:hAnsi="Times New Roman"/>
                <w:b/>
                <w:sz w:val="19"/>
              </w:rPr>
              <w:t>Microsoft Context Graph (WO2023043598A1)</w:t>
            </w:r>
          </w:p>
        </w:tc>
        <w:tc>
          <w:tcPr>
            <w:tcW w:type="dxa" w:w="1003"/>
            <w:shd w:fill="E2E8F0"/>
          </w:tcPr>
          <w:p>
            <w:pPr>
              <w:spacing w:before="60" w:after="60"/>
            </w:pPr>
            <w:r>
              <w:rPr>
                <w:rFonts w:ascii="Times New Roman" w:hAnsi="Times New Roman"/>
                <w:b/>
                <w:sz w:val="19"/>
              </w:rPr>
              <w:t>Boeing Dynamic Policy (CA3139589A1)</w:t>
            </w:r>
          </w:p>
        </w:tc>
        <w:tc>
          <w:tcPr>
            <w:tcW w:type="dxa" w:w="1003"/>
            <w:shd w:fill="E2E8F0"/>
          </w:tcPr>
          <w:p>
            <w:pPr>
              <w:spacing w:before="60" w:after="60"/>
            </w:pPr>
            <w:r>
              <w:rPr>
                <w:rFonts w:ascii="Times New Roman" w:hAnsi="Times New Roman"/>
                <w:b/>
                <w:sz w:val="19"/>
              </w:rPr>
              <w:t>Ising Compiler (US10691771B2)</w:t>
            </w:r>
          </w:p>
        </w:tc>
        <w:tc>
          <w:tcPr>
            <w:tcW w:type="dxa" w:w="1003"/>
            <w:shd w:fill="E2E8F0"/>
          </w:tcPr>
          <w:p>
            <w:pPr>
              <w:spacing w:before="60" w:after="60"/>
            </w:pPr>
            <w:r>
              <w:rPr>
                <w:rFonts w:ascii="Times New Roman" w:hAnsi="Times New Roman"/>
                <w:b/>
                <w:sz w:val="19"/>
              </w:rPr>
              <w:t>Hybrid Quantum Opt. (US20230419155A1)</w:t>
            </w:r>
          </w:p>
        </w:tc>
        <w:tc>
          <w:tcPr>
            <w:tcW w:type="dxa" w:w="1003"/>
            <w:shd w:fill="E2E8F0"/>
          </w:tcPr>
          <w:p>
            <w:pPr>
              <w:spacing w:before="60" w:after="60"/>
            </w:pPr>
            <w:r>
              <w:rPr>
                <w:rFonts w:ascii="Times New Roman" w:hAnsi="Times New Roman"/>
                <w:b/>
                <w:sz w:val="19"/>
              </w:rPr>
              <w:t>SOAR / APT Response (CN114070629B)</w:t>
            </w:r>
          </w:p>
        </w:tc>
        <w:tc>
          <w:tcPr>
            <w:tcW w:type="dxa" w:w="1003"/>
            <w:shd w:fill="E2E8F0"/>
          </w:tcPr>
          <w:p>
            <w:pPr>
              <w:spacing w:before="60" w:after="60"/>
            </w:pPr>
            <w:r>
              <w:rPr>
                <w:rFonts w:ascii="Times New Roman" w:hAnsi="Times New Roman"/>
                <w:b/>
                <w:sz w:val="19"/>
              </w:rPr>
              <w:t>Dynamic Protocol DAG Art</w:t>
            </w:r>
          </w:p>
        </w:tc>
        <w:tc>
          <w:tcPr>
            <w:tcW w:type="dxa" w:w="1003"/>
            <w:shd w:fill="E2E8F0"/>
          </w:tcPr>
          <w:p>
            <w:pPr>
              <w:spacing w:before="60" w:after="60"/>
            </w:pPr>
            <w:r>
              <w:rPr>
                <w:rFonts w:ascii="Times New Roman" w:hAnsi="Times New Roman"/>
                <w:b/>
                <w:sz w:val="19"/>
              </w:rPr>
              <w:t>🛡️ Cloud Guardian (Our Invention)</w:t>
            </w:r>
          </w:p>
        </w:tc>
      </w:tr>
      <w:tr>
        <w:tc>
          <w:tcPr>
            <w:tcW w:type="dxa" w:w="1003"/>
          </w:tcPr>
          <w:p>
            <w:pPr>
              <w:spacing w:before="40" w:after="40"/>
            </w:pPr>
            <w:r>
              <w:rPr>
                <w:rFonts w:ascii="Times New Roman" w:hAnsi="Times New Roman"/>
                <w:sz w:val="18"/>
              </w:rPr>
              <w:t>1. Primary Objective</w:t>
            </w:r>
          </w:p>
        </w:tc>
        <w:tc>
          <w:tcPr>
            <w:tcW w:type="dxa" w:w="1003"/>
          </w:tcPr>
          <w:p>
            <w:pPr>
              <w:spacing w:before="40" w:after="40"/>
            </w:pPr>
            <w:r>
              <w:rPr>
                <w:rFonts w:ascii="Times New Roman" w:hAnsi="Times New Roman"/>
                <w:sz w:val="18"/>
              </w:rPr>
              <w:t>Risk control selection via D-Wave</w:t>
            </w:r>
          </w:p>
        </w:tc>
        <w:tc>
          <w:tcPr>
            <w:tcW w:type="dxa" w:w="1003"/>
          </w:tcPr>
          <w:p>
            <w:pPr>
              <w:spacing w:before="40" w:after="40"/>
            </w:pPr>
            <w:r>
              <w:rPr>
                <w:rFonts w:ascii="Times New Roman" w:hAnsi="Times New Roman"/>
                <w:sz w:val="18"/>
              </w:rPr>
              <w:t>Security graph correlation &amp; validation</w:t>
            </w:r>
          </w:p>
        </w:tc>
        <w:tc>
          <w:tcPr>
            <w:tcW w:type="dxa" w:w="1003"/>
          </w:tcPr>
          <w:p>
            <w:pPr>
              <w:spacing w:before="40" w:after="40"/>
            </w:pPr>
            <w:r>
              <w:rPr>
                <w:rFonts w:ascii="Times New Roman" w:hAnsi="Times New Roman"/>
                <w:sz w:val="18"/>
              </w:rPr>
              <w:t>Policy deployment on topology change</w:t>
            </w:r>
          </w:p>
        </w:tc>
        <w:tc>
          <w:tcPr>
            <w:tcW w:type="dxa" w:w="1003"/>
          </w:tcPr>
          <w:p>
            <w:pPr>
              <w:spacing w:before="40" w:after="40"/>
            </w:pPr>
            <w:r>
              <w:rPr>
                <w:rFonts w:ascii="Times New Roman" w:hAnsi="Times New Roman"/>
                <w:sz w:val="18"/>
              </w:rPr>
              <w:t>Compiling ILP onto Ising physical hardware</w:t>
            </w:r>
          </w:p>
        </w:tc>
        <w:tc>
          <w:tcPr>
            <w:tcW w:type="dxa" w:w="1003"/>
          </w:tcPr>
          <w:p>
            <w:pPr>
              <w:spacing w:before="40" w:after="40"/>
            </w:pPr>
            <w:r>
              <w:rPr>
                <w:rFonts w:ascii="Times New Roman" w:hAnsi="Times New Roman"/>
                <w:sz w:val="18"/>
              </w:rPr>
              <w:t>Generic hybrid solver decomposition</w:t>
            </w:r>
          </w:p>
        </w:tc>
        <w:tc>
          <w:tcPr>
            <w:tcW w:type="dxa" w:w="1003"/>
          </w:tcPr>
          <w:p>
            <w:pPr>
              <w:spacing w:before="40" w:after="40"/>
            </w:pPr>
            <w:r>
              <w:rPr>
                <w:rFonts w:ascii="Times New Roman" w:hAnsi="Times New Roman"/>
                <w:sz w:val="18"/>
              </w:rPr>
              <w:t>Threat event response script execution</w:t>
            </w:r>
          </w:p>
        </w:tc>
        <w:tc>
          <w:tcPr>
            <w:tcW w:type="dxa" w:w="1003"/>
          </w:tcPr>
          <w:p>
            <w:pPr>
              <w:spacing w:before="40" w:after="40"/>
            </w:pPr>
            <w:r>
              <w:rPr>
                <w:rFonts w:ascii="Times New Roman" w:hAnsi="Times New Roman"/>
                <w:sz w:val="18"/>
              </w:rPr>
              <w:t>Runtime protocol assembly &amp; verification</w:t>
            </w:r>
          </w:p>
        </w:tc>
        <w:tc>
          <w:tcPr>
            <w:tcW w:type="dxa" w:w="1003"/>
          </w:tcPr>
          <w:p>
            <w:pPr>
              <w:spacing w:before="40" w:after="40"/>
            </w:pPr>
            <w:r>
              <w:rPr>
                <w:rFonts w:ascii="Times New Roman" w:hAnsi="Times New Roman"/>
                <w:sz w:val="18"/>
              </w:rPr>
              <w:t>Live multi-objective response optimization</w:t>
            </w:r>
          </w:p>
        </w:tc>
      </w:tr>
      <w:tr>
        <w:tc>
          <w:tcPr>
            <w:tcW w:type="dxa" w:w="1003"/>
            <w:shd w:fill="F8FAFC"/>
          </w:tcPr>
          <w:p>
            <w:pPr>
              <w:spacing w:before="40" w:after="40"/>
            </w:pPr>
            <w:r>
              <w:rPr>
                <w:rFonts w:ascii="Times New Roman" w:hAnsi="Times New Roman"/>
                <w:sz w:val="18"/>
              </w:rPr>
              <w:t>2. Telemetry Ingestion</w:t>
            </w:r>
          </w:p>
        </w:tc>
        <w:tc>
          <w:tcPr>
            <w:tcW w:type="dxa" w:w="1003"/>
            <w:shd w:fill="F8FAFC"/>
          </w:tcPr>
          <w:p>
            <w:pPr>
              <w:spacing w:before="40" w:after="40"/>
            </w:pPr>
            <w:r>
              <w:rPr>
                <w:rFonts w:ascii="Times New Roman" w:hAnsi="Times New Roman"/>
                <w:sz w:val="18"/>
              </w:rPr>
              <w:t>Static risk catalog / dynamic CPS context</w:t>
            </w:r>
          </w:p>
        </w:tc>
        <w:tc>
          <w:tcPr>
            <w:tcW w:type="dxa" w:w="1003"/>
            <w:shd w:fill="F8FAFC"/>
          </w:tcPr>
          <w:p>
            <w:pPr>
              <w:spacing w:before="40" w:after="40"/>
            </w:pPr>
            <w:r>
              <w:rPr>
                <w:rFonts w:ascii="Times New Roman" w:hAnsi="Times New Roman"/>
                <w:sz w:val="18"/>
              </w:rPr>
              <w:t>Centralized SIEM / entity graph</w:t>
            </w:r>
          </w:p>
        </w:tc>
        <w:tc>
          <w:tcPr>
            <w:tcW w:type="dxa" w:w="1003"/>
            <w:shd w:fill="F8FAFC"/>
          </w:tcPr>
          <w:p>
            <w:pPr>
              <w:spacing w:before="40" w:after="40"/>
            </w:pPr>
            <w:r>
              <w:rPr>
                <w:rFonts w:ascii="Times New Roman" w:hAnsi="Times New Roman"/>
                <w:sz w:val="18"/>
              </w:rPr>
              <w:t>Network configuration &amp; context</w:t>
            </w:r>
          </w:p>
        </w:tc>
        <w:tc>
          <w:tcPr>
            <w:tcW w:type="dxa" w:w="1003"/>
            <w:shd w:fill="F8FAFC"/>
          </w:tcPr>
          <w:p>
            <w:pPr>
              <w:spacing w:before="40" w:after="40"/>
            </w:pPr>
            <w:r>
              <w:rPr>
                <w:rFonts w:ascii="Times New Roman" w:hAnsi="Times New Roman"/>
                <w:sz w:val="18"/>
              </w:rPr>
              <w:t>Mathematical problem input</w:t>
            </w:r>
          </w:p>
        </w:tc>
        <w:tc>
          <w:tcPr>
            <w:tcW w:type="dxa" w:w="1003"/>
            <w:shd w:fill="F8FAFC"/>
          </w:tcPr>
          <w:p>
            <w:pPr>
              <w:spacing w:before="40" w:after="40"/>
            </w:pPr>
            <w:r>
              <w:rPr>
                <w:rFonts w:ascii="Times New Roman" w:hAnsi="Times New Roman"/>
                <w:sz w:val="18"/>
              </w:rPr>
              <w:t>Mathematical problem input</w:t>
            </w:r>
          </w:p>
        </w:tc>
        <w:tc>
          <w:tcPr>
            <w:tcW w:type="dxa" w:w="1003"/>
            <w:shd w:fill="F8FAFC"/>
          </w:tcPr>
          <w:p>
            <w:pPr>
              <w:spacing w:before="40" w:after="40"/>
            </w:pPr>
            <w:r>
              <w:rPr>
                <w:rFonts w:ascii="Times New Roman" w:hAnsi="Times New Roman"/>
                <w:sz w:val="18"/>
              </w:rPr>
              <w:t>Centralized syslog &amp; telemetry</w:t>
            </w:r>
          </w:p>
        </w:tc>
        <w:tc>
          <w:tcPr>
            <w:tcW w:type="dxa" w:w="1003"/>
            <w:shd w:fill="F8FAFC"/>
          </w:tcPr>
          <w:p>
            <w:pPr>
              <w:spacing w:before="40" w:after="40"/>
            </w:pPr>
            <w:r>
              <w:rPr>
                <w:rFonts w:ascii="Times New Roman" w:hAnsi="Times New Roman"/>
                <w:sz w:val="18"/>
              </w:rPr>
              <w:t>Component repository</w:t>
            </w:r>
          </w:p>
        </w:tc>
        <w:tc>
          <w:tcPr>
            <w:tcW w:type="dxa" w:w="1003"/>
            <w:shd w:fill="F8FAFC"/>
          </w:tcPr>
          <w:p>
            <w:pPr>
              <w:spacing w:before="40" w:after="40"/>
            </w:pPr>
            <w:r>
              <w:rPr>
                <w:rFonts w:ascii="Times New Roman" w:hAnsi="Times New Roman"/>
                <w:sz w:val="18"/>
              </w:rPr>
              <w:t>Distributed non-IID Edge-IIoT telemetry (Layer 1)</w:t>
            </w:r>
          </w:p>
        </w:tc>
      </w:tr>
      <w:tr>
        <w:tc>
          <w:tcPr>
            <w:tcW w:type="dxa" w:w="1003"/>
          </w:tcPr>
          <w:p>
            <w:pPr>
              <w:spacing w:before="40" w:after="40"/>
            </w:pPr>
            <w:r>
              <w:rPr>
                <w:rFonts w:ascii="Times New Roman" w:hAnsi="Times New Roman"/>
                <w:sz w:val="18"/>
              </w:rPr>
              <w:t>3. Detection Mechanism</w:t>
            </w:r>
          </w:p>
        </w:tc>
        <w:tc>
          <w:tcPr>
            <w:tcW w:type="dxa" w:w="1003"/>
          </w:tcPr>
          <w:p>
            <w:pPr>
              <w:spacing w:before="40" w:after="40"/>
            </w:pPr>
            <w:r>
              <w:rPr>
                <w:rFonts w:ascii="Times New Roman" w:hAnsi="Times New Roman"/>
                <w:sz w:val="18"/>
              </w:rPr>
              <w:t>Assumes risk identified offline/CPS state</w:t>
            </w:r>
          </w:p>
        </w:tc>
        <w:tc>
          <w:tcPr>
            <w:tcW w:type="dxa" w:w="1003"/>
          </w:tcPr>
          <w:p>
            <w:pPr>
              <w:spacing w:before="40" w:after="40"/>
            </w:pPr>
            <w:r>
              <w:rPr>
                <w:rFonts w:ascii="Times New Roman" w:hAnsi="Times New Roman"/>
                <w:sz w:val="18"/>
              </w:rPr>
              <w:t>Graph pattern queries</w:t>
            </w:r>
          </w:p>
        </w:tc>
        <w:tc>
          <w:tcPr>
            <w:tcW w:type="dxa" w:w="1003"/>
          </w:tcPr>
          <w:p>
            <w:pPr>
              <w:spacing w:before="40" w:after="40"/>
            </w:pPr>
            <w:r>
              <w:rPr>
                <w:rFonts w:ascii="Times New Roman" w:hAnsi="Times New Roman"/>
                <w:sz w:val="18"/>
              </w:rPr>
              <w:t>Threshold triggers</w:t>
            </w:r>
          </w:p>
        </w:tc>
        <w:tc>
          <w:tcPr>
            <w:tcW w:type="dxa" w:w="1003"/>
          </w:tcPr>
          <w:p>
            <w:pPr>
              <w:spacing w:before="40" w:after="40"/>
            </w:pPr>
            <w:r>
              <w:rPr>
                <w:rFonts w:ascii="Times New Roman" w:hAnsi="Times New Roman"/>
                <w:sz w:val="18"/>
              </w:rPr>
              <w:t>None</w:t>
            </w:r>
          </w:p>
        </w:tc>
        <w:tc>
          <w:tcPr>
            <w:tcW w:type="dxa" w:w="1003"/>
          </w:tcPr>
          <w:p>
            <w:pPr>
              <w:spacing w:before="40" w:after="40"/>
            </w:pPr>
            <w:r>
              <w:rPr>
                <w:rFonts w:ascii="Times New Roman" w:hAnsi="Times New Roman"/>
                <w:sz w:val="18"/>
              </w:rPr>
              <w:t>None</w:t>
            </w:r>
          </w:p>
        </w:tc>
        <w:tc>
          <w:tcPr>
            <w:tcW w:type="dxa" w:w="1003"/>
          </w:tcPr>
          <w:p>
            <w:pPr>
              <w:spacing w:before="40" w:after="40"/>
            </w:pPr>
            <w:r>
              <w:rPr>
                <w:rFonts w:ascii="Times New Roman" w:hAnsi="Times New Roman"/>
                <w:sz w:val="18"/>
              </w:rPr>
              <w:t>AI / threat intel feeds</w:t>
            </w:r>
          </w:p>
        </w:tc>
        <w:tc>
          <w:tcPr>
            <w:tcW w:type="dxa" w:w="1003"/>
          </w:tcPr>
          <w:p>
            <w:pPr>
              <w:spacing w:before="40" w:after="40"/>
            </w:pPr>
            <w:r>
              <w:rPr>
                <w:rFonts w:ascii="Times New Roman" w:hAnsi="Times New Roman"/>
                <w:sz w:val="18"/>
              </w:rPr>
              <w:t>Parameter monitoring</w:t>
            </w:r>
          </w:p>
        </w:tc>
        <w:tc>
          <w:tcPr>
            <w:tcW w:type="dxa" w:w="1003"/>
          </w:tcPr>
          <w:p>
            <w:pPr>
              <w:spacing w:before="40" w:after="40"/>
            </w:pPr>
            <w:r>
              <w:rPr>
                <w:rFonts w:ascii="Times New Roman" w:hAnsi="Times New Roman"/>
                <w:sz w:val="18"/>
              </w:rPr>
              <w:t>Classical FL with ROC Youden's J Calibration (Layer 2)</w:t>
            </w:r>
          </w:p>
        </w:tc>
      </w:tr>
      <w:tr>
        <w:tc>
          <w:tcPr>
            <w:tcW w:type="dxa" w:w="1003"/>
            <w:shd w:fill="F8FAFC"/>
          </w:tcPr>
          <w:p>
            <w:pPr>
              <w:spacing w:before="40" w:after="40"/>
            </w:pPr>
            <w:r>
              <w:rPr>
                <w:rFonts w:ascii="Times New Roman" w:hAnsi="Times New Roman"/>
                <w:sz w:val="18"/>
              </w:rPr>
              <w:t>4. Problem Construction</w:t>
            </w:r>
          </w:p>
        </w:tc>
        <w:tc>
          <w:tcPr>
            <w:tcW w:type="dxa" w:w="1003"/>
            <w:shd w:fill="F8FAFC"/>
          </w:tcPr>
          <w:p>
            <w:pPr>
              <w:spacing w:before="40" w:after="40"/>
            </w:pPr>
            <w:r>
              <w:rPr>
                <w:rFonts w:ascii="Times New Roman" w:hAnsi="Times New Roman"/>
                <w:sz w:val="18"/>
              </w:rPr>
              <w:t>Pre-defined quadratic knapsack model</w:t>
            </w:r>
          </w:p>
        </w:tc>
        <w:tc>
          <w:tcPr>
            <w:tcW w:type="dxa" w:w="1003"/>
            <w:shd w:fill="F8FAFC"/>
          </w:tcPr>
          <w:p>
            <w:pPr>
              <w:spacing w:before="40" w:after="40"/>
            </w:pPr>
            <w:r>
              <w:rPr>
                <w:rFonts w:ascii="Times New Roman" w:hAnsi="Times New Roman"/>
                <w:sz w:val="18"/>
              </w:rPr>
              <w:t>Context-aware policy generation</w:t>
            </w:r>
          </w:p>
        </w:tc>
        <w:tc>
          <w:tcPr>
            <w:tcW w:type="dxa" w:w="1003"/>
            <w:shd w:fill="F8FAFC"/>
          </w:tcPr>
          <w:p>
            <w:pPr>
              <w:spacing w:before="40" w:after="40"/>
            </w:pPr>
            <w:r>
              <w:rPr>
                <w:rFonts w:ascii="Times New Roman" w:hAnsi="Times New Roman"/>
                <w:sz w:val="18"/>
              </w:rPr>
              <w:t>Rule updates on topology change</w:t>
            </w:r>
          </w:p>
        </w:tc>
        <w:tc>
          <w:tcPr>
            <w:tcW w:type="dxa" w:w="1003"/>
            <w:shd w:fill="F8FAFC"/>
          </w:tcPr>
          <w:p>
            <w:pPr>
              <w:spacing w:before="40" w:after="40"/>
            </w:pPr>
            <w:r>
              <w:rPr>
                <w:rFonts w:ascii="Times New Roman" w:hAnsi="Times New Roman"/>
                <w:sz w:val="18"/>
              </w:rPr>
              <w:t>Slices pre-existing ILP equations</w:t>
            </w:r>
          </w:p>
        </w:tc>
        <w:tc>
          <w:tcPr>
            <w:tcW w:type="dxa" w:w="1003"/>
            <w:shd w:fill="F8FAFC"/>
          </w:tcPr>
          <w:p>
            <w:pPr>
              <w:spacing w:before="40" w:after="40"/>
            </w:pPr>
            <w:r>
              <w:rPr>
                <w:rFonts w:ascii="Times New Roman" w:hAnsi="Times New Roman"/>
                <w:sz w:val="18"/>
              </w:rPr>
              <w:t>Problem decomposition into QPU/CPU</w:t>
            </w:r>
          </w:p>
        </w:tc>
        <w:tc>
          <w:tcPr>
            <w:tcW w:type="dxa" w:w="1003"/>
            <w:shd w:fill="F8FAFC"/>
          </w:tcPr>
          <w:p>
            <w:pPr>
              <w:spacing w:before="40" w:after="40"/>
            </w:pPr>
            <w:r>
              <w:rPr>
                <w:rFonts w:ascii="Times New Roman" w:hAnsi="Times New Roman"/>
                <w:sz w:val="18"/>
              </w:rPr>
              <w:t>Response script matching</w:t>
            </w:r>
          </w:p>
        </w:tc>
        <w:tc>
          <w:tcPr>
            <w:tcW w:type="dxa" w:w="1003"/>
            <w:shd w:fill="F8FAFC"/>
          </w:tcPr>
          <w:p>
            <w:pPr>
              <w:spacing w:before="40" w:after="40"/>
            </w:pPr>
            <w:r>
              <w:rPr>
                <w:rFonts w:ascii="Times New Roman" w:hAnsi="Times New Roman"/>
                <w:sz w:val="18"/>
              </w:rPr>
              <w:t>DAG component assembly</w:t>
            </w:r>
          </w:p>
        </w:tc>
        <w:tc>
          <w:tcPr>
            <w:tcW w:type="dxa" w:w="1003"/>
            <w:shd w:fill="F8FAFC"/>
          </w:tcPr>
          <w:p>
            <w:pPr>
              <w:spacing w:before="40" w:after="40"/>
            </w:pPr>
            <w:r>
              <w:rPr>
                <w:rFonts w:ascii="Times New Roman" w:hAnsi="Times New Roman"/>
                <w:sz w:val="18"/>
              </w:rPr>
              <w:t>Constraint IR + DAG Formulation Compiler (Layer 5 ★)</w:t>
            </w:r>
          </w:p>
        </w:tc>
      </w:tr>
      <w:tr>
        <w:tc>
          <w:tcPr>
            <w:tcW w:type="dxa" w:w="1003"/>
          </w:tcPr>
          <w:p>
            <w:pPr>
              <w:spacing w:before="40" w:after="40"/>
            </w:pPr>
            <w:r>
              <w:rPr>
                <w:rFonts w:ascii="Times New Roman" w:hAnsi="Times New Roman"/>
                <w:sz w:val="18"/>
              </w:rPr>
              <w:t>5. Structural Topology Shift</w:t>
            </w:r>
          </w:p>
        </w:tc>
        <w:tc>
          <w:tcPr>
            <w:tcW w:type="dxa" w:w="1003"/>
          </w:tcPr>
          <w:p>
            <w:pPr>
              <w:spacing w:before="40" w:after="40"/>
            </w:pPr>
            <w:r>
              <w:rPr>
                <w:rFonts w:ascii="Times New Roman" w:hAnsi="Times New Roman"/>
                <w:sz w:val="18"/>
              </w:rPr>
              <w:t>Fixed variable domain (objective weights only)</w:t>
            </w:r>
          </w:p>
        </w:tc>
        <w:tc>
          <w:tcPr>
            <w:tcW w:type="dxa" w:w="1003"/>
          </w:tcPr>
          <w:p>
            <w:pPr>
              <w:spacing w:before="40" w:after="40"/>
            </w:pPr>
            <w:r>
              <w:rPr>
                <w:rFonts w:ascii="Times New Roman" w:hAnsi="Times New Roman"/>
                <w:sz w:val="18"/>
              </w:rPr>
              <w:t>Graph entity expansion</w:t>
            </w:r>
          </w:p>
        </w:tc>
        <w:tc>
          <w:tcPr>
            <w:tcW w:type="dxa" w:w="1003"/>
          </w:tcPr>
          <w:p>
            <w:pPr>
              <w:spacing w:before="40" w:after="40"/>
            </w:pPr>
            <w:r>
              <w:rPr>
                <w:rFonts w:ascii="Times New Roman" w:hAnsi="Times New Roman"/>
                <w:sz w:val="18"/>
              </w:rPr>
              <w:t>Policy table mutation</w:t>
            </w:r>
          </w:p>
        </w:tc>
        <w:tc>
          <w:tcPr>
            <w:tcW w:type="dxa" w:w="1003"/>
          </w:tcPr>
          <w:p>
            <w:pPr>
              <w:spacing w:before="40" w:after="40"/>
            </w:pPr>
            <w:r>
              <w:rPr>
                <w:rFonts w:ascii="Times New Roman" w:hAnsi="Times New Roman"/>
                <w:sz w:val="18"/>
              </w:rPr>
              <w:t>Fixed variable indices</w:t>
            </w:r>
          </w:p>
        </w:tc>
        <w:tc>
          <w:tcPr>
            <w:tcW w:type="dxa" w:w="1003"/>
          </w:tcPr>
          <w:p>
            <w:pPr>
              <w:spacing w:before="40" w:after="40"/>
            </w:pPr>
            <w:r>
              <w:rPr>
                <w:rFonts w:ascii="Times New Roman" w:hAnsi="Times New Roman"/>
                <w:sz w:val="18"/>
              </w:rPr>
              <w:t>Mathematical variable partitioning</w:t>
            </w:r>
          </w:p>
        </w:tc>
        <w:tc>
          <w:tcPr>
            <w:tcW w:type="dxa" w:w="1003"/>
          </w:tcPr>
          <w:p>
            <w:pPr>
              <w:spacing w:before="40" w:after="40"/>
            </w:pPr>
            <w:r>
              <w:rPr>
                <w:rFonts w:ascii="Times New Roman" w:hAnsi="Times New Roman"/>
                <w:sz w:val="18"/>
              </w:rPr>
              <w:t>Static playbook branching</w:t>
            </w:r>
          </w:p>
        </w:tc>
        <w:tc>
          <w:tcPr>
            <w:tcW w:type="dxa" w:w="1003"/>
          </w:tcPr>
          <w:p>
            <w:pPr>
              <w:spacing w:before="40" w:after="40"/>
            </w:pPr>
            <w:r>
              <w:rPr>
                <w:rFonts w:ascii="Times New Roman" w:hAnsi="Times New Roman"/>
                <w:sz w:val="18"/>
              </w:rPr>
              <w:t>Component reordering</w:t>
            </w:r>
          </w:p>
        </w:tc>
        <w:tc>
          <w:tcPr>
            <w:tcW w:type="dxa" w:w="1003"/>
          </w:tcPr>
          <w:p>
            <w:pPr>
              <w:spacing w:before="40" w:after="40"/>
            </w:pPr>
            <w:r>
              <w:rPr>
                <w:rFonts w:ascii="Times New Roman" w:hAnsi="Times New Roman"/>
                <w:sz w:val="18"/>
              </w:rPr>
              <w:t>Two-Dimensional Structural Topology Shifts (Asset &amp; Context)</w:t>
            </w:r>
          </w:p>
        </w:tc>
      </w:tr>
      <w:tr>
        <w:tc>
          <w:tcPr>
            <w:tcW w:type="dxa" w:w="1003"/>
            <w:shd w:fill="F8FAFC"/>
          </w:tcPr>
          <w:p>
            <w:pPr>
              <w:spacing w:before="40" w:after="40"/>
            </w:pPr>
            <w:r>
              <w:rPr>
                <w:rFonts w:ascii="Times New Roman" w:hAnsi="Times New Roman"/>
                <w:sz w:val="18"/>
              </w:rPr>
              <w:t>6. Causal Pruning &amp; DAG</w:t>
            </w:r>
          </w:p>
        </w:tc>
        <w:tc>
          <w:tcPr>
            <w:tcW w:type="dxa" w:w="1003"/>
            <w:shd w:fill="F8FAFC"/>
          </w:tcPr>
          <w:p>
            <w:pPr>
              <w:spacing w:before="40" w:after="40"/>
            </w:pPr>
            <w:r>
              <w:rPr>
                <w:rFonts w:ascii="Times New Roman" w:hAnsi="Times New Roman"/>
                <w:sz w:val="18"/>
              </w:rPr>
              <w:t>None</w:t>
            </w:r>
          </w:p>
        </w:tc>
        <w:tc>
          <w:tcPr>
            <w:tcW w:type="dxa" w:w="1003"/>
            <w:shd w:fill="F8FAFC"/>
          </w:tcPr>
          <w:p>
            <w:pPr>
              <w:spacing w:before="40" w:after="40"/>
            </w:pPr>
            <w:r>
              <w:rPr>
                <w:rFonts w:ascii="Times New Roman" w:hAnsi="Times New Roman"/>
                <w:sz w:val="18"/>
              </w:rPr>
              <w:t>Entity graph dependencies</w:t>
            </w:r>
          </w:p>
        </w:tc>
        <w:tc>
          <w:tcPr>
            <w:tcW w:type="dxa" w:w="1003"/>
            <w:shd w:fill="F8FAFC"/>
          </w:tcPr>
          <w:p>
            <w:pPr>
              <w:spacing w:before="40" w:after="40"/>
            </w:pPr>
            <w:r>
              <w:rPr>
                <w:rFonts w:ascii="Times New Roman" w:hAnsi="Times New Roman"/>
                <w:sz w:val="18"/>
              </w:rPr>
              <w:t>Topology dependencies</w:t>
            </w:r>
          </w:p>
        </w:tc>
        <w:tc>
          <w:tcPr>
            <w:tcW w:type="dxa" w:w="1003"/>
            <w:shd w:fill="F8FAFC"/>
          </w:tcPr>
          <w:p>
            <w:pPr>
              <w:spacing w:before="40" w:after="40"/>
            </w:pPr>
            <w:r>
              <w:rPr>
                <w:rFonts w:ascii="Times New Roman" w:hAnsi="Times New Roman"/>
                <w:sz w:val="18"/>
              </w:rPr>
              <w:t>None</w:t>
            </w:r>
          </w:p>
        </w:tc>
        <w:tc>
          <w:tcPr>
            <w:tcW w:type="dxa" w:w="1003"/>
            <w:shd w:fill="F8FAFC"/>
          </w:tcPr>
          <w:p>
            <w:pPr>
              <w:spacing w:before="40" w:after="40"/>
            </w:pPr>
            <w:r>
              <w:rPr>
                <w:rFonts w:ascii="Times New Roman" w:hAnsi="Times New Roman"/>
                <w:sz w:val="18"/>
              </w:rPr>
              <w:t>None</w:t>
            </w:r>
          </w:p>
        </w:tc>
        <w:tc>
          <w:tcPr>
            <w:tcW w:type="dxa" w:w="1003"/>
            <w:shd w:fill="F8FAFC"/>
          </w:tcPr>
          <w:p>
            <w:pPr>
              <w:spacing w:before="40" w:after="40"/>
            </w:pPr>
            <w:r>
              <w:rPr>
                <w:rFonts w:ascii="Times New Roman" w:hAnsi="Times New Roman"/>
                <w:sz w:val="18"/>
              </w:rPr>
              <w:t>Workflow execution order</w:t>
            </w:r>
          </w:p>
        </w:tc>
        <w:tc>
          <w:tcPr>
            <w:tcW w:type="dxa" w:w="1003"/>
            <w:shd w:fill="F8FAFC"/>
          </w:tcPr>
          <w:p>
            <w:pPr>
              <w:spacing w:before="40" w:after="40"/>
            </w:pPr>
            <w:r>
              <w:rPr>
                <w:rFonts w:ascii="Times New Roman" w:hAnsi="Times New Roman"/>
                <w:sz w:val="18"/>
              </w:rPr>
              <w:t>Dependency DAG resolution</w:t>
            </w:r>
          </w:p>
        </w:tc>
        <w:tc>
          <w:tcPr>
            <w:tcW w:type="dxa" w:w="1003"/>
            <w:shd w:fill="F8FAFC"/>
          </w:tcPr>
          <w:p>
            <w:pPr>
              <w:spacing w:before="40" w:after="40"/>
            </w:pPr>
            <w:r>
              <w:rPr>
                <w:rFonts w:ascii="Times New Roman" w:hAnsi="Times New Roman"/>
                <w:sz w:val="18"/>
              </w:rPr>
              <w:t>Cascading resolution: Capability $\to$ Pruning $\to$ Conflicts $\to$ Budget</w:t>
            </w:r>
          </w:p>
        </w:tc>
      </w:tr>
      <w:tr>
        <w:tc>
          <w:tcPr>
            <w:tcW w:type="dxa" w:w="1003"/>
          </w:tcPr>
          <w:p>
            <w:pPr>
              <w:spacing w:before="40" w:after="40"/>
            </w:pPr>
            <w:r>
              <w:rPr>
                <w:rFonts w:ascii="Times New Roman" w:hAnsi="Times New Roman"/>
                <w:sz w:val="18"/>
              </w:rPr>
              <w:t>7. Pre-Solve Verification</w:t>
            </w:r>
          </w:p>
        </w:tc>
        <w:tc>
          <w:tcPr>
            <w:tcW w:type="dxa" w:w="1003"/>
          </w:tcPr>
          <w:p>
            <w:pPr>
              <w:spacing w:before="40" w:after="40"/>
            </w:pPr>
            <w:r>
              <w:rPr>
                <w:rFonts w:ascii="Times New Roman" w:hAnsi="Times New Roman"/>
                <w:sz w:val="18"/>
              </w:rPr>
              <w:t>None</w:t>
            </w:r>
          </w:p>
        </w:tc>
        <w:tc>
          <w:tcPr>
            <w:tcW w:type="dxa" w:w="1003"/>
          </w:tcPr>
          <w:p>
            <w:pPr>
              <w:spacing w:before="40" w:after="40"/>
            </w:pPr>
            <w:r>
              <w:rPr>
                <w:rFonts w:ascii="Times New Roman" w:hAnsi="Times New Roman"/>
                <w:sz w:val="18"/>
              </w:rPr>
              <w:t>Policy validation rules</w:t>
            </w:r>
          </w:p>
        </w:tc>
        <w:tc>
          <w:tcPr>
            <w:tcW w:type="dxa" w:w="1003"/>
          </w:tcPr>
          <w:p>
            <w:pPr>
              <w:spacing w:before="40" w:after="40"/>
            </w:pPr>
            <w:r>
              <w:rPr>
                <w:rFonts w:ascii="Times New Roman" w:hAnsi="Times New Roman"/>
                <w:sz w:val="18"/>
              </w:rPr>
              <w:t>Configuration validation</w:t>
            </w:r>
          </w:p>
        </w:tc>
        <w:tc>
          <w:tcPr>
            <w:tcW w:type="dxa" w:w="1003"/>
          </w:tcPr>
          <w:p>
            <w:pPr>
              <w:spacing w:before="40" w:after="40"/>
            </w:pPr>
            <w:r>
              <w:rPr>
                <w:rFonts w:ascii="Times New Roman" w:hAnsi="Times New Roman"/>
                <w:sz w:val="18"/>
              </w:rPr>
              <w:t>Hardware embedding feasibility</w:t>
            </w:r>
          </w:p>
        </w:tc>
        <w:tc>
          <w:tcPr>
            <w:tcW w:type="dxa" w:w="1003"/>
          </w:tcPr>
          <w:p>
            <w:pPr>
              <w:spacing w:before="40" w:after="40"/>
            </w:pPr>
            <w:r>
              <w:rPr>
                <w:rFonts w:ascii="Times New Roman" w:hAnsi="Times New Roman"/>
                <w:sz w:val="18"/>
              </w:rPr>
              <w:t>Mathematical feasibility check</w:t>
            </w:r>
          </w:p>
        </w:tc>
        <w:tc>
          <w:tcPr>
            <w:tcW w:type="dxa" w:w="1003"/>
          </w:tcPr>
          <w:p>
            <w:pPr>
              <w:spacing w:before="40" w:after="40"/>
            </w:pPr>
            <w:r>
              <w:rPr>
                <w:rFonts w:ascii="Times New Roman" w:hAnsi="Times New Roman"/>
                <w:sz w:val="18"/>
              </w:rPr>
              <w:t>None</w:t>
            </w:r>
          </w:p>
        </w:tc>
        <w:tc>
          <w:tcPr>
            <w:tcW w:type="dxa" w:w="1003"/>
          </w:tcPr>
          <w:p>
            <w:pPr>
              <w:spacing w:before="40" w:after="40"/>
            </w:pPr>
            <w:r>
              <w:rPr>
                <w:rFonts w:ascii="Times New Roman" w:hAnsi="Times New Roman"/>
                <w:sz w:val="18"/>
              </w:rPr>
              <w:t>Protocol safety invariant check</w:t>
            </w:r>
          </w:p>
        </w:tc>
        <w:tc>
          <w:tcPr>
            <w:tcW w:type="dxa" w:w="1003"/>
          </w:tcPr>
          <w:p>
            <w:pPr>
              <w:spacing w:before="40" w:after="40"/>
            </w:pPr>
            <w:r>
              <w:rPr>
                <w:rFonts w:ascii="Times New Roman" w:hAnsi="Times New Roman"/>
                <w:sz w:val="18"/>
              </w:rPr>
              <w:t>Pre-Solve Invariant Validator + SHA-256 Digest (Layer 5)</w:t>
            </w:r>
          </w:p>
        </w:tc>
      </w:tr>
      <w:tr>
        <w:tc>
          <w:tcPr>
            <w:tcW w:type="dxa" w:w="1003"/>
            <w:shd w:fill="F8FAFC"/>
          </w:tcPr>
          <w:p>
            <w:pPr>
              <w:spacing w:before="40" w:after="40"/>
            </w:pPr>
            <w:r>
              <w:rPr>
                <w:rFonts w:ascii="Times New Roman" w:hAnsi="Times New Roman"/>
                <w:sz w:val="18"/>
              </w:rPr>
              <w:t>8. Intermediate Rep (IR)</w:t>
            </w:r>
          </w:p>
        </w:tc>
        <w:tc>
          <w:tcPr>
            <w:tcW w:type="dxa" w:w="1003"/>
            <w:shd w:fill="F8FAFC"/>
          </w:tcPr>
          <w:p>
            <w:pPr>
              <w:spacing w:before="40" w:after="40"/>
            </w:pPr>
            <w:r>
              <w:rPr>
                <w:rFonts w:ascii="Times New Roman" w:hAnsi="Times New Roman"/>
                <w:sz w:val="18"/>
              </w:rPr>
              <w:t>None (direct D-Wave model)</w:t>
            </w:r>
          </w:p>
        </w:tc>
        <w:tc>
          <w:tcPr>
            <w:tcW w:type="dxa" w:w="1003"/>
            <w:shd w:fill="F8FAFC"/>
          </w:tcPr>
          <w:p>
            <w:pPr>
              <w:spacing w:before="40" w:after="40"/>
            </w:pPr>
            <w:r>
              <w:rPr>
                <w:rFonts w:ascii="Times New Roman" w:hAnsi="Times New Roman"/>
                <w:sz w:val="18"/>
              </w:rPr>
              <w:t>Policy syntax trees</w:t>
            </w:r>
          </w:p>
        </w:tc>
        <w:tc>
          <w:tcPr>
            <w:tcW w:type="dxa" w:w="1003"/>
            <w:shd w:fill="F8FAFC"/>
          </w:tcPr>
          <w:p>
            <w:pPr>
              <w:spacing w:before="40" w:after="40"/>
            </w:pPr>
            <w:r>
              <w:rPr>
                <w:rFonts w:ascii="Times New Roman" w:hAnsi="Times New Roman"/>
                <w:sz w:val="18"/>
              </w:rPr>
              <w:t>Network config rules</w:t>
            </w:r>
          </w:p>
        </w:tc>
        <w:tc>
          <w:tcPr>
            <w:tcW w:type="dxa" w:w="1003"/>
            <w:shd w:fill="F8FAFC"/>
          </w:tcPr>
          <w:p>
            <w:pPr>
              <w:spacing w:before="40" w:after="40"/>
            </w:pPr>
            <w:r>
              <w:rPr>
                <w:rFonts w:ascii="Times New Roman" w:hAnsi="Times New Roman"/>
                <w:sz w:val="18"/>
              </w:rPr>
              <w:t>Logical Ising spin representations</w:t>
            </w:r>
          </w:p>
        </w:tc>
        <w:tc>
          <w:tcPr>
            <w:tcW w:type="dxa" w:w="1003"/>
            <w:shd w:fill="F8FAFC"/>
          </w:tcPr>
          <w:p>
            <w:pPr>
              <w:spacing w:before="40" w:after="40"/>
            </w:pPr>
            <w:r>
              <w:rPr>
                <w:rFonts w:ascii="Times New Roman" w:hAnsi="Times New Roman"/>
                <w:sz w:val="18"/>
              </w:rPr>
              <w:t>Subproblem specifications</w:t>
            </w:r>
          </w:p>
        </w:tc>
        <w:tc>
          <w:tcPr>
            <w:tcW w:type="dxa" w:w="1003"/>
            <w:shd w:fill="F8FAFC"/>
          </w:tcPr>
          <w:p>
            <w:pPr>
              <w:spacing w:before="40" w:after="40"/>
            </w:pPr>
            <w:r>
              <w:rPr>
                <w:rFonts w:ascii="Times New Roman" w:hAnsi="Times New Roman"/>
                <w:sz w:val="18"/>
              </w:rPr>
              <w:t>Script descriptors</w:t>
            </w:r>
          </w:p>
        </w:tc>
        <w:tc>
          <w:tcPr>
            <w:tcW w:type="dxa" w:w="1003"/>
            <w:shd w:fill="F8FAFC"/>
          </w:tcPr>
          <w:p>
            <w:pPr>
              <w:spacing w:before="40" w:after="40"/>
            </w:pPr>
            <w:r>
              <w:rPr>
                <w:rFonts w:ascii="Times New Roman" w:hAnsi="Times New Roman"/>
                <w:sz w:val="18"/>
              </w:rPr>
              <w:t>Protocol spec DAG</w:t>
            </w:r>
          </w:p>
        </w:tc>
        <w:tc>
          <w:tcPr>
            <w:tcW w:type="dxa" w:w="1003"/>
            <w:shd w:fill="F8FAFC"/>
          </w:tcPr>
          <w:p>
            <w:pPr>
              <w:spacing w:before="40" w:after="40"/>
            </w:pPr>
            <w:r>
              <w:rPr>
                <w:rFonts w:ascii="Times New Roman" w:hAnsi="Times New Roman"/>
                <w:sz w:val="18"/>
              </w:rPr>
              <w:t>Solver-independent SC-IR with Hard/Soft partitioning</w:t>
            </w:r>
          </w:p>
        </w:tc>
      </w:tr>
      <w:tr>
        <w:tc>
          <w:tcPr>
            <w:tcW w:type="dxa" w:w="1003"/>
          </w:tcPr>
          <w:p>
            <w:pPr>
              <w:spacing w:before="40" w:after="40"/>
            </w:pPr>
            <w:r>
              <w:rPr>
                <w:rFonts w:ascii="Times New Roman" w:hAnsi="Times New Roman"/>
                <w:sz w:val="18"/>
              </w:rPr>
              <w:t>9. Formulation Compiler</w:t>
            </w:r>
          </w:p>
        </w:tc>
        <w:tc>
          <w:tcPr>
            <w:tcW w:type="dxa" w:w="1003"/>
          </w:tcPr>
          <w:p>
            <w:pPr>
              <w:spacing w:before="40" w:after="40"/>
            </w:pPr>
            <w:r>
              <w:rPr>
                <w:rFonts w:ascii="Times New Roman" w:hAnsi="Times New Roman"/>
                <w:sz w:val="18"/>
              </w:rPr>
              <w:t>Hardcoded D-Wave formulation</w:t>
            </w:r>
          </w:p>
        </w:tc>
        <w:tc>
          <w:tcPr>
            <w:tcW w:type="dxa" w:w="1003"/>
          </w:tcPr>
          <w:p>
            <w:pPr>
              <w:spacing w:before="40" w:after="40"/>
            </w:pPr>
            <w:r>
              <w:rPr>
                <w:rFonts w:ascii="Times New Roman" w:hAnsi="Times New Roman"/>
                <w:sz w:val="18"/>
              </w:rPr>
              <w:t>None (rule engine)</w:t>
            </w:r>
          </w:p>
        </w:tc>
        <w:tc>
          <w:tcPr>
            <w:tcW w:type="dxa" w:w="1003"/>
          </w:tcPr>
          <w:p>
            <w:pPr>
              <w:spacing w:before="40" w:after="40"/>
            </w:pPr>
            <w:r>
              <w:rPr>
                <w:rFonts w:ascii="Times New Roman" w:hAnsi="Times New Roman"/>
                <w:sz w:val="18"/>
              </w:rPr>
              <w:t>None (rule deployment)</w:t>
            </w:r>
          </w:p>
        </w:tc>
        <w:tc>
          <w:tcPr>
            <w:tcW w:type="dxa" w:w="1003"/>
          </w:tcPr>
          <w:p>
            <w:pPr>
              <w:spacing w:before="40" w:after="40"/>
            </w:pPr>
            <w:r>
              <w:rPr>
                <w:rFonts w:ascii="Times New Roman" w:hAnsi="Times New Roman"/>
                <w:sz w:val="18"/>
              </w:rPr>
              <w:t>Hardware embedding compiler</w:t>
            </w:r>
          </w:p>
        </w:tc>
        <w:tc>
          <w:tcPr>
            <w:tcW w:type="dxa" w:w="1003"/>
          </w:tcPr>
          <w:p>
            <w:pPr>
              <w:spacing w:before="40" w:after="40"/>
            </w:pPr>
            <w:r>
              <w:rPr>
                <w:rFonts w:ascii="Times New Roman" w:hAnsi="Times New Roman"/>
                <w:sz w:val="18"/>
              </w:rPr>
              <w:t>Hybrid algorithm decomposition</w:t>
            </w:r>
          </w:p>
        </w:tc>
        <w:tc>
          <w:tcPr>
            <w:tcW w:type="dxa" w:w="1003"/>
          </w:tcPr>
          <w:p>
            <w:pPr>
              <w:spacing w:before="40" w:after="40"/>
            </w:pPr>
            <w:r>
              <w:rPr>
                <w:rFonts w:ascii="Times New Roman" w:hAnsi="Times New Roman"/>
                <w:sz w:val="18"/>
              </w:rPr>
              <w:t>Script dispatcher</w:t>
            </w:r>
          </w:p>
        </w:tc>
        <w:tc>
          <w:tcPr>
            <w:tcW w:type="dxa" w:w="1003"/>
          </w:tcPr>
          <w:p>
            <w:pPr>
              <w:spacing w:before="40" w:after="40"/>
            </w:pPr>
            <w:r>
              <w:rPr>
                <w:rFonts w:ascii="Times New Roman" w:hAnsi="Times New Roman"/>
                <w:sz w:val="18"/>
              </w:rPr>
              <w:t>None (code generator)</w:t>
            </w:r>
          </w:p>
        </w:tc>
        <w:tc>
          <w:tcPr>
            <w:tcW w:type="dxa" w:w="1003"/>
          </w:tcPr>
          <w:p>
            <w:pPr>
              <w:spacing w:before="40" w:after="40"/>
            </w:pPr>
            <w:r>
              <w:rPr>
                <w:rFonts w:ascii="Times New Roman" w:hAnsi="Times New Roman"/>
                <w:sz w:val="18"/>
              </w:rPr>
              <w:t>Incident-specific compiler to interchangeable QUBO and ILP</w:t>
            </w:r>
          </w:p>
        </w:tc>
      </w:tr>
      <w:tr>
        <w:tc>
          <w:tcPr>
            <w:tcW w:type="dxa" w:w="1003"/>
            <w:shd w:fill="F8FAFC"/>
          </w:tcPr>
          <w:p>
            <w:pPr>
              <w:spacing w:before="40" w:after="40"/>
            </w:pPr>
            <w:r>
              <w:rPr>
                <w:rFonts w:ascii="Times New Roman" w:hAnsi="Times New Roman"/>
                <w:sz w:val="18"/>
              </w:rPr>
              <w:t>10. Decision Stability</w:t>
            </w:r>
          </w:p>
        </w:tc>
        <w:tc>
          <w:tcPr>
            <w:tcW w:type="dxa" w:w="1003"/>
            <w:shd w:fill="F8FAFC"/>
          </w:tcPr>
          <w:p>
            <w:pPr>
              <w:spacing w:before="40" w:after="40"/>
            </w:pPr>
            <w:r>
              <w:rPr>
                <w:rFonts w:ascii="Times New Roman" w:hAnsi="Times New Roman"/>
                <w:sz w:val="18"/>
              </w:rPr>
              <w:t>Single-shot solve</w:t>
            </w:r>
          </w:p>
        </w:tc>
        <w:tc>
          <w:tcPr>
            <w:tcW w:type="dxa" w:w="1003"/>
            <w:shd w:fill="F8FAFC"/>
          </w:tcPr>
          <w:p>
            <w:pPr>
              <w:spacing w:before="40" w:after="40"/>
            </w:pPr>
            <w:r>
              <w:rPr>
                <w:rFonts w:ascii="Times New Roman" w:hAnsi="Times New Roman"/>
                <w:sz w:val="18"/>
              </w:rPr>
              <w:t>Static policy enforcement</w:t>
            </w:r>
          </w:p>
        </w:tc>
        <w:tc>
          <w:tcPr>
            <w:tcW w:type="dxa" w:w="1003"/>
            <w:shd w:fill="F8FAFC"/>
          </w:tcPr>
          <w:p>
            <w:pPr>
              <w:spacing w:before="40" w:after="40"/>
            </w:pPr>
            <w:r>
              <w:rPr>
                <w:rFonts w:ascii="Times New Roman" w:hAnsi="Times New Roman"/>
                <w:sz w:val="18"/>
              </w:rPr>
              <w:t>Static policy update</w:t>
            </w:r>
          </w:p>
        </w:tc>
        <w:tc>
          <w:tcPr>
            <w:tcW w:type="dxa" w:w="1003"/>
            <w:shd w:fill="F8FAFC"/>
          </w:tcPr>
          <w:p>
            <w:pPr>
              <w:spacing w:before="40" w:after="40"/>
            </w:pPr>
            <w:r>
              <w:rPr>
                <w:rFonts w:ascii="Times New Roman" w:hAnsi="Times New Roman"/>
                <w:sz w:val="18"/>
              </w:rPr>
              <w:t>Algorithmic convergence</w:t>
            </w:r>
          </w:p>
        </w:tc>
        <w:tc>
          <w:tcPr>
            <w:tcW w:type="dxa" w:w="1003"/>
            <w:shd w:fill="F8FAFC"/>
          </w:tcPr>
          <w:p>
            <w:pPr>
              <w:spacing w:before="40" w:after="40"/>
            </w:pPr>
            <w:r>
              <w:rPr>
                <w:rFonts w:ascii="Times New Roman" w:hAnsi="Times New Roman"/>
                <w:sz w:val="18"/>
              </w:rPr>
              <w:t>Algorithmic convergence</w:t>
            </w:r>
          </w:p>
        </w:tc>
        <w:tc>
          <w:tcPr>
            <w:tcW w:type="dxa" w:w="1003"/>
            <w:shd w:fill="F8FAFC"/>
          </w:tcPr>
          <w:p>
            <w:pPr>
              <w:spacing w:before="40" w:after="40"/>
            </w:pPr>
            <w:r>
              <w:rPr>
                <w:rFonts w:ascii="Times New Roman" w:hAnsi="Times New Roman"/>
                <w:sz w:val="18"/>
              </w:rPr>
              <w:t>Static execution</w:t>
            </w:r>
          </w:p>
        </w:tc>
        <w:tc>
          <w:tcPr>
            <w:tcW w:type="dxa" w:w="1003"/>
            <w:shd w:fill="F8FAFC"/>
          </w:tcPr>
          <w:p>
            <w:pPr>
              <w:spacing w:before="40" w:after="40"/>
            </w:pPr>
            <w:r>
              <w:rPr>
                <w:rFonts w:ascii="Times New Roman" w:hAnsi="Times New Roman"/>
                <w:sz w:val="18"/>
              </w:rPr>
              <w:t>Static verification</w:t>
            </w:r>
          </w:p>
        </w:tc>
        <w:tc>
          <w:tcPr>
            <w:tcW w:type="dxa" w:w="1003"/>
            <w:shd w:fill="F8FAFC"/>
          </w:tcPr>
          <w:p>
            <w:pPr>
              <w:spacing w:before="40" w:after="40"/>
            </w:pPr>
            <w:r>
              <w:rPr>
                <w:rFonts w:ascii="Times New Roman" w:hAnsi="Times New Roman"/>
                <w:sz w:val="18"/>
              </w:rPr>
              <w:t>State-aware action switching penalty $P{\text{switch}}$</w:t>
            </w:r>
          </w:p>
        </w:tc>
      </w:tr>
    </w:tbl>
    <w:p>
      <w:pPr>
        <w:spacing w:after="120"/>
      </w:pPr>
    </w:p>
    <w:p>
      <w:pPr>
        <w:keepNext/>
        <w:spacing w:before="120" w:after="60"/>
      </w:pPr>
      <w:r>
        <w:rPr>
          <w:rFonts w:ascii="Times New Roman" w:hAnsi="Times New Roman"/>
          <w:b/>
          <w:sz w:val="22"/>
        </w:rPr>
        <w:t>Crucial Distinctions Over Cited Prior Art</w:t>
      </w:r>
    </w:p>
    <w:p>
      <w:pPr>
        <w:spacing w:before="40" w:after="60"/>
        <w:ind w:left="360"/>
      </w:pPr>
      <w:r>
        <w:rPr>
          <w:rFonts w:ascii="Times New Roman" w:hAnsi="Times New Roman"/>
          <w:b/>
          <w:sz w:val="22"/>
        </w:rPr>
        <w:t xml:space="preserve">1. </w:t>
      </w:r>
      <w:r>
        <w:rPr>
          <w:rFonts w:ascii="Times New Roman" w:hAnsi="Times New Roman"/>
          <w:sz w:val="22"/>
        </w:rPr>
        <w:t>Distinction Over MARISMA &amp; MARISMA-CPS: MARISMA-CPS discloses dynamic risk management and automated incident mitigation control selection via quantum annealing across cyber-physical assets. However, the cited references do not disclose or suggest the claimed runtime transformation in which security-state-dependent feasibility information removes actions from the optimization variable domain and causes dependent constraint topology and resource bounds to be regenerated before formulation. MARISMA evaluates security controls within a pre-existing decision formulation; it does not teach an upstream causal pipeline ($\mathcal{A} \to \mathcal{A}' \to \mathcal{E} \to \mathcal{B} \to \text{SC-IR}$) that restructures the mathematical problem space prior to formulation. Under severe threat utility ($si \ge 0.85$), parameter-only systems fail (40.0% forbidden action violation rate), whereas Cloud Guardian physically excises forbidden variables ($x{i,a} \notin \mathcal{A}'$), achieving 100.0% Decision Fidelity by mathematical construction.</w:t>
      </w:r>
    </w:p>
    <w:p>
      <w:pPr>
        <w:spacing w:before="40" w:after="60"/>
        <w:ind w:left="360"/>
      </w:pPr>
      <w:r>
        <w:rPr>
          <w:rFonts w:ascii="Times New Roman" w:hAnsi="Times New Roman"/>
          <w:b/>
          <w:sz w:val="22"/>
        </w:rPr>
        <w:t xml:space="preserve">2. </w:t>
      </w:r>
      <w:r>
        <w:rPr>
          <w:rFonts w:ascii="Times New Roman" w:hAnsi="Times New Roman"/>
          <w:sz w:val="22"/>
        </w:rPr>
        <w:t>Distinction Over Formulation Compilation Art (US10691771B2): Translating or compiling an already-formulated mathematical optimization model (such as an existing ILP) into physical Ising hardware or QUBO polynomials is an established compiler primitive. Cloud Guardian explicitly does not claim formulation compilation alone as novel. Rather, the inventive step resides in the runtime security-state-driven synthesis of the mathematical problem itself, dynamically constructing the variable space, conflict hyperedges, and budget ceiling before compilation into QUBO or ILP.</w:t>
      </w:r>
    </w:p>
    <w:p>
      <w:pPr>
        <w:spacing w:before="40" w:after="60"/>
        <w:ind w:left="360"/>
      </w:pPr>
      <w:r>
        <w:rPr>
          <w:rFonts w:ascii="Times New Roman" w:hAnsi="Times New Roman"/>
          <w:b/>
          <w:sz w:val="22"/>
        </w:rPr>
        <w:t xml:space="preserve">3. </w:t>
      </w:r>
      <w:r>
        <w:rPr>
          <w:rFonts w:ascii="Times New Roman" w:hAnsi="Times New Roman"/>
          <w:sz w:val="22"/>
        </w:rPr>
        <w:t>Distinction Over Dynamic Protocol DAG Synthesis &amp; Verification Art: Distributed systems art discloses dynamically assembling protocol components into a DAG, optimizing parameters, and verifying safety invariants. Cloud Guardian's claims are expressly limited to the security decision-domain transformation: receiving real-time threat detection signals, physically and statutorily pruning forbidden response actions from the active variable domain, resolving security consequence dependency chains into conflict hyperedges, and verifying security invariants prior to multi-solver formulation.</w:t>
      </w:r>
    </w:p>
    <w:p>
      <w:pPr>
        <w:keepNext/>
        <w:spacing w:before="280" w:after="120"/>
      </w:pPr>
      <w:r>
        <w:rPr>
          <w:rFonts w:ascii="Times New Roman" w:hAnsi="Times New Roman"/>
          <w:b/>
          <w:color w:val="1E3A8A"/>
          <w:sz w:val="27"/>
        </w:rPr>
        <w:t>6. OBJECTS OF THE INVENTION</w:t>
      </w:r>
    </w:p>
    <w:p>
      <w:pPr>
        <w:spacing w:before="40" w:after="60"/>
        <w:ind w:left="360"/>
      </w:pPr>
      <w:r>
        <w:rPr>
          <w:rFonts w:ascii="Times New Roman" w:hAnsi="Times New Roman"/>
          <w:b/>
          <w:sz w:val="22"/>
        </w:rPr>
        <w:t xml:space="preserve">1. </w:t>
      </w:r>
      <w:r>
        <w:rPr>
          <w:rFonts w:ascii="Times New Roman" w:hAnsi="Times New Roman"/>
          <w:sz w:val="22"/>
        </w:rPr>
        <w:t>To provide a privacy-preserving 9-layer system architecture that ingests and evaluates multi-protocol network traffic records (Modbus TCP, MQTT, TCP/UDP, ARP, ICMP, HTTP, DNS) at distributed edge nodes without transmitting raw data across public networks.</w:t>
      </w:r>
    </w:p>
    <w:p>
      <w:pPr>
        <w:spacing w:before="40" w:after="60"/>
        <w:ind w:left="360"/>
      </w:pPr>
      <w:r>
        <w:rPr>
          <w:rFonts w:ascii="Times New Roman" w:hAnsi="Times New Roman"/>
          <w:b/>
          <w:sz w:val="22"/>
        </w:rPr>
        <w:t xml:space="preserve">2. </w:t>
      </w:r>
      <w:r>
        <w:rPr>
          <w:rFonts w:ascii="Times New Roman" w:hAnsi="Times New Roman"/>
          <w:sz w:val="22"/>
        </w:rPr>
        <w:t>To synthesize a solver-independent Security Constraint Intermediate Representation (SC-IR) with explicit Hard vs. Soft constraint partitioning, ensuring that mandatory physical and policy invariants cannot be relaxed by objective trade-offs.</w:t>
      </w:r>
    </w:p>
    <w:p>
      <w:pPr>
        <w:spacing w:before="40" w:after="60"/>
        <w:ind w:left="360"/>
      </w:pPr>
      <w:r>
        <w:rPr>
          <w:rFonts w:ascii="Times New Roman" w:hAnsi="Times New Roman"/>
          <w:b/>
          <w:sz w:val="22"/>
        </w:rPr>
        <w:t xml:space="preserve">3. </w:t>
      </w:r>
      <w:r>
        <w:rPr>
          <w:rFonts w:ascii="Times New Roman" w:hAnsi="Times New Roman"/>
          <w:sz w:val="22"/>
        </w:rPr>
        <w:t>To construct a Constraint Dependency Graph (DAG) that executes cascading causal resolution: physical hardware capabilities $\to$ variable pruning $\to$ downstream conflict hyperedge elimination $\to$ operational budget bound calculation.</w:t>
      </w:r>
    </w:p>
    <w:p>
      <w:pPr>
        <w:spacing w:before="40" w:after="60"/>
        <w:ind w:left="360"/>
      </w:pPr>
      <w:r>
        <w:rPr>
          <w:rFonts w:ascii="Times New Roman" w:hAnsi="Times New Roman"/>
          <w:b/>
          <w:sz w:val="22"/>
        </w:rPr>
        <w:t xml:space="preserve">4. </w:t>
      </w:r>
      <w:r>
        <w:rPr>
          <w:rFonts w:ascii="Times New Roman" w:hAnsi="Times New Roman"/>
          <w:sz w:val="22"/>
        </w:rPr>
        <w:t>To verify the synthesized IR prior to solver invocation using a deterministic Pre-Solve Constraint Invariant Validator evaluating 7 mathematical invariants and generating an auditable SHA-256 cryptographic state integrity digest.</w:t>
      </w:r>
    </w:p>
    <w:p>
      <w:pPr>
        <w:spacing w:before="40" w:after="60"/>
        <w:ind w:left="360"/>
      </w:pPr>
      <w:r>
        <w:rPr>
          <w:rFonts w:ascii="Times New Roman" w:hAnsi="Times New Roman"/>
          <w:b/>
          <w:sz w:val="22"/>
        </w:rPr>
        <w:t xml:space="preserve">5. </w:t>
      </w:r>
      <w:r>
        <w:rPr>
          <w:rFonts w:ascii="Times New Roman" w:hAnsi="Times New Roman"/>
          <w:sz w:val="22"/>
        </w:rPr>
        <w:t>To compile the verified IR via an incident-specific Formulation Compiler into interchangeable mathematical topologies, including Quadratic Unconstrained Binary Optimization (QUBO) Hamiltonian equations solved via Qiskit QAOA and classical Integer Linear Programming (ILP) models solved via PuLP.</w:t>
      </w:r>
    </w:p>
    <w:p>
      <w:pPr>
        <w:spacing w:before="40" w:after="60"/>
        <w:ind w:left="360"/>
      </w:pPr>
      <w:r>
        <w:rPr>
          <w:rFonts w:ascii="Times New Roman" w:hAnsi="Times New Roman"/>
          <w:b/>
          <w:sz w:val="22"/>
        </w:rPr>
        <w:t xml:space="preserve">6. </w:t>
      </w:r>
      <w:r>
        <w:rPr>
          <w:rFonts w:ascii="Times New Roman" w:hAnsi="Times New Roman"/>
          <w:sz w:val="22"/>
        </w:rPr>
        <w:t>To penalize unnecessary action switching and reduce operational decision oscillation across sequential evaluation cycles via an action switching penalty ($\lambda{\text{switch}}$).</w:t>
      </w:r>
    </w:p>
    <w:p>
      <w:pPr>
        <w:spacing w:before="40" w:after="60"/>
        <w:ind w:left="360"/>
      </w:pPr>
      <w:r>
        <w:rPr>
          <w:rFonts w:ascii="Times New Roman" w:hAnsi="Times New Roman"/>
          <w:b/>
          <w:sz w:val="22"/>
        </w:rPr>
        <w:t xml:space="preserve">7. </w:t>
      </w:r>
      <w:r>
        <w:rPr>
          <w:rFonts w:ascii="Times New Roman" w:hAnsi="Times New Roman"/>
          <w:sz w:val="22"/>
        </w:rPr>
        <w:t>To provide an Experience Memory mechanism with a strict Validation Gate that admits candidate constraint rules from post-incident feedback while preventing learned rules from modifying hard safety invariants.</w:t>
      </w:r>
    </w:p>
    <w:p>
      <w:pPr>
        <w:spacing w:before="40" w:after="60"/>
        <w:ind w:left="360"/>
      </w:pPr>
      <w:r>
        <w:rPr>
          <w:rFonts w:ascii="Times New Roman" w:hAnsi="Times New Roman"/>
          <w:b/>
          <w:sz w:val="22"/>
        </w:rPr>
        <w:t xml:space="preserve">8. </w:t>
      </w:r>
      <w:r>
        <w:rPr>
          <w:rFonts w:ascii="Times New Roman" w:hAnsi="Times New Roman"/>
          <w:sz w:val="22"/>
        </w:rPr>
        <w:t>To provide concrete technical improvements in automated infrastructure operation by dynamically restricting executable response actions according to runtime physical and operational constraints, thereby achieving 100.0% Decision Fidelity and reducing forbidden action executions across evaluated operational scenarios.</w:t>
      </w:r>
    </w:p>
    <w:p>
      <w:pPr>
        <w:keepNext/>
        <w:spacing w:before="280" w:after="120"/>
      </w:pPr>
      <w:r>
        <w:rPr>
          <w:rFonts w:ascii="Times New Roman" w:hAnsi="Times New Roman"/>
          <w:b/>
          <w:color w:val="1E3A8A"/>
          <w:sz w:val="27"/>
        </w:rPr>
        <w:t>7. BRIEF DESCRIPTION OF THE ACCOMPANYING DRAWINGS</w:t>
      </w:r>
    </w:p>
    <w:p>
      <w:pPr>
        <w:pStyle w:val="ListBullet"/>
        <w:spacing w:before="20" w:after="40"/>
      </w:pPr>
      <w:r>
        <w:rPr>
          <w:rFonts w:ascii="Times New Roman" w:hAnsi="Times New Roman"/>
          <w:sz w:val="22"/>
        </w:rPr>
        <w:t>FIG. 1: Illustrates the 9-Layer System Architecture Diagram showing end-to-end data flow from IoT Edge telemetry ingestion to constraint compilation, multi-solver optimization, and automated playbook orchestration.</w:t>
      </w:r>
    </w:p>
    <w:p>
      <w:pPr>
        <w:pStyle w:val="ListBullet"/>
        <w:spacing w:before="20" w:after="40"/>
      </w:pPr>
      <w:r>
        <w:rPr>
          <w:rFonts w:ascii="Times New Roman" w:hAnsi="Times New Roman"/>
          <w:sz w:val="22"/>
        </w:rPr>
        <w:t>FIG. 2: Illustrates the System Control Flow Sequence Diagram detailing interactions between Edge Devices, Layer 0 Preprocessor, Edge PyTorch Models, FL Global Server, Layer 5 Constraint Compiler Engine, Layer 6 Decision Engine, and Layer 9 Experience Feedback Loop.</w:t>
      </w:r>
    </w:p>
    <w:p>
      <w:pPr>
        <w:keepNext/>
        <w:spacing w:before="200" w:after="80"/>
      </w:pPr>
      <w:r>
        <w:rPr>
          <w:rFonts w:ascii="Times New Roman" w:hAnsi="Times New Roman"/>
          <w:b/>
          <w:color w:val="0F172A"/>
          <w:sz w:val="24"/>
        </w:rPr>
        <w:t>FIG. 1: 9-Layer System Architecture Diagram</w:t>
      </w:r>
    </w:p>
    <w:p>
      <w:pPr>
        <w:spacing w:before="40" w:after="80" w:line="300" w:lineRule="auto"/>
      </w:pPr>
      <w:r>
        <w:rPr>
          <w:rFonts w:ascii="Times New Roman" w:hAnsi="Times New Roman"/>
          <w:sz w:val="22"/>
        </w:rPr>
        <w:t>![FIG. 1: 9-Layer System Architecture Diagram](architecturediagram.png)</w:t>
      </w:r>
    </w:p>
    <w:p>
      <w:pPr>
        <w:spacing w:before="40" w:after="80" w:line="300" w:lineRule="auto"/>
      </w:pPr>
      <w:r>
        <w:rPr>
          <w:rFonts w:ascii="Times New Roman" w:hAnsi="Times New Roman"/>
          <w:sz w:val="22"/>
        </w:rPr>
        <w:t>mermaid</w:t>
      </w:r>
    </w:p>
    <w:p>
      <w:pPr>
        <w:spacing w:before="40" w:after="80" w:line="300" w:lineRule="auto"/>
      </w:pPr>
      <w:r>
        <w:rPr>
          <w:rFonts w:ascii="Times New Roman" w:hAnsi="Times New Roman"/>
          <w:sz w:val="22"/>
        </w:rPr>
        <w:t>graph TD</w:t>
      </w:r>
    </w:p>
    <w:p>
      <w:pPr>
        <w:spacing w:before="40" w:after="80" w:line="300" w:lineRule="auto"/>
      </w:pPr>
      <w:r>
        <w:rPr>
          <w:rFonts w:ascii="Times New Roman" w:hAnsi="Times New Roman"/>
          <w:sz w:val="22"/>
        </w:rPr>
        <w:t>subgraph Edge ["IoT Edge &amp; Industrial Devices"]</w:t>
      </w:r>
    </w:p>
    <w:p>
      <w:pPr>
        <w:spacing w:before="40" w:after="80" w:line="300" w:lineRule="auto"/>
      </w:pPr>
      <w:r>
        <w:rPr>
          <w:rFonts w:ascii="Times New Roman" w:hAnsi="Times New Roman"/>
          <w:sz w:val="22"/>
        </w:rPr>
        <w:t>D1["Modbus TCP (PLC)"]</w:t>
      </w:r>
    </w:p>
    <w:p>
      <w:pPr>
        <w:spacing w:before="40" w:after="80" w:line="300" w:lineRule="auto"/>
      </w:pPr>
      <w:r>
        <w:rPr>
          <w:rFonts w:ascii="Times New Roman" w:hAnsi="Times New Roman"/>
          <w:sz w:val="22"/>
        </w:rPr>
        <w:t>D2["MQTT (Smart Sensors)"]</w:t>
      </w:r>
    </w:p>
    <w:p>
      <w:pPr>
        <w:spacing w:before="40" w:after="80" w:line="300" w:lineRule="auto"/>
      </w:pPr>
      <w:r>
        <w:rPr>
          <w:rFonts w:ascii="Times New Roman" w:hAnsi="Times New Roman"/>
          <w:sz w:val="22"/>
        </w:rPr>
        <w:t>D3["TCP/UDP &amp; ARP (Workstations)"]</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L0 ["Layer 0: Data Preprocessing Engine"]</w:t>
      </w:r>
    </w:p>
    <w:p>
      <w:pPr>
        <w:spacing w:before="40" w:after="80" w:line="300" w:lineRule="auto"/>
      </w:pPr>
      <w:r>
        <w:rPr>
          <w:rFonts w:ascii="Times New Roman" w:hAnsi="Times New Roman"/>
          <w:sz w:val="22"/>
        </w:rPr>
        <w:t>P1["DataPreprocessor&lt;br/&gt;(Median Impute, IQR Clip, Log1p, StandardScaler)"]</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L1 ["Layer 1: Telemetry Ingestion"]</w:t>
      </w:r>
    </w:p>
    <w:p>
      <w:pPr>
        <w:spacing w:before="40" w:after="80" w:line="300" w:lineRule="auto"/>
      </w:pPr>
      <w:r>
        <w:rPr>
          <w:rFonts w:ascii="Times New Roman" w:hAnsi="Times New Roman"/>
          <w:sz w:val="22"/>
        </w:rPr>
        <w:t>T1["Edge Shard Loader &amp; Incident Scenarios"]</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L2 ["Layer 2: Federated Edge AI Detection"]</w:t>
      </w:r>
    </w:p>
    <w:p>
      <w:pPr>
        <w:spacing w:before="40" w:after="80" w:line="300" w:lineRule="auto"/>
      </w:pPr>
      <w:r>
        <w:rPr>
          <w:rFonts w:ascii="Times New Roman" w:hAnsi="Times New Roman"/>
          <w:sz w:val="22"/>
        </w:rPr>
        <w:t>F1["PyTorch Local Models (MLP / 1D-CNN)"]</w:t>
      </w:r>
    </w:p>
    <w:p>
      <w:pPr>
        <w:spacing w:before="40" w:after="80" w:line="300" w:lineRule="auto"/>
      </w:pPr>
      <w:r>
        <w:rPr>
          <w:rFonts w:ascii="Times New Roman" w:hAnsi="Times New Roman"/>
          <w:sz w:val="22"/>
        </w:rPr>
        <w:t>F2["Global FL Aggregator Server&lt;br/&gt;(FedAvg / FedProx / FedAdam / FedNova)"]</w:t>
      </w:r>
    </w:p>
    <w:p>
      <w:pPr>
        <w:spacing w:before="40" w:after="80" w:line="300" w:lineRule="auto"/>
      </w:pPr>
      <w:r>
        <w:rPr>
          <w:rFonts w:ascii="Times New Roman" w:hAnsi="Times New Roman"/>
          <w:sz w:val="22"/>
        </w:rPr>
        <w:t>F3["Youden's J ROC Calibration (94.05% Mean Acc)"]</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L3 ["Layer 3: Context Aggregator"]</w:t>
      </w:r>
    </w:p>
    <w:p>
      <w:pPr>
        <w:spacing w:before="40" w:after="80" w:line="300" w:lineRule="auto"/>
      </w:pPr>
      <w:r>
        <w:rPr>
          <w:rFonts w:ascii="Times New Roman" w:hAnsi="Times New Roman"/>
          <w:sz w:val="22"/>
        </w:rPr>
        <w:t>C1["C-I-A Risk, Downtime Cost ($/min) &amp; Encoded Policy Rules"]</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L4 ["Layer 4: Confidence Evaluator"]</w:t>
      </w:r>
    </w:p>
    <w:p>
      <w:pPr>
        <w:spacing w:before="40" w:after="80" w:line="300" w:lineRule="auto"/>
      </w:pPr>
      <w:r>
        <w:rPr>
          <w:rFonts w:ascii="Times New Roman" w:hAnsi="Times New Roman"/>
          <w:sz w:val="22"/>
        </w:rPr>
        <w:t>K1["Detection Confidence, Sensor Trust &amp; Action Eligibility Gating"]</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L5 ["Layer 5: Security Constraint Compiler Architecture ★"]</w:t>
      </w:r>
    </w:p>
    <w:p>
      <w:pPr>
        <w:spacing w:before="40" w:after="80" w:line="300" w:lineRule="auto"/>
      </w:pPr>
      <w:r>
        <w:rPr>
          <w:rFonts w:ascii="Times New Roman" w:hAnsi="Times New Roman"/>
          <w:sz w:val="22"/>
        </w:rPr>
        <w:t>IR1["Constraint Dependency Graph (DAG)"]</w:t>
      </w:r>
    </w:p>
    <w:p>
      <w:pPr>
        <w:spacing w:before="40" w:after="80" w:line="300" w:lineRule="auto"/>
      </w:pPr>
      <w:r>
        <w:rPr>
          <w:rFonts w:ascii="Times New Roman" w:hAnsi="Times New Roman"/>
          <w:sz w:val="22"/>
        </w:rPr>
        <w:t>IR2["Security Constraint IR (Hard / Soft Partitioning)"]</w:t>
      </w:r>
    </w:p>
    <w:p>
      <w:pPr>
        <w:spacing w:before="40" w:after="80" w:line="300" w:lineRule="auto"/>
      </w:pPr>
      <w:r>
        <w:rPr>
          <w:rFonts w:ascii="Times New Roman" w:hAnsi="Times New Roman"/>
          <w:sz w:val="22"/>
        </w:rPr>
        <w:t>IR3["Pre-Solve Invariant Validator (7 Checks + SHA-256 Digest)"]</w:t>
      </w:r>
    </w:p>
    <w:p>
      <w:pPr>
        <w:spacing w:before="40" w:after="80" w:line="300" w:lineRule="auto"/>
      </w:pPr>
      <w:r>
        <w:rPr>
          <w:rFonts w:ascii="Times New Roman" w:hAnsi="Times New Roman"/>
          <w:sz w:val="22"/>
        </w:rPr>
        <w:t>IR4["Formulation Compiler (QUBO / ILP Topologies)"]</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L6 ["Layer 6: Multi-Solver Decision Engine"]</w:t>
      </w:r>
    </w:p>
    <w:p>
      <w:pPr>
        <w:spacing w:before="40" w:after="80" w:line="300" w:lineRule="auto"/>
      </w:pPr>
      <w:r>
        <w:rPr>
          <w:rFonts w:ascii="Times New Roman" w:hAnsi="Times New Roman"/>
          <w:sz w:val="22"/>
        </w:rPr>
        <w:t>Q1["Qiskit QAOA Variational Circuits"]</w:t>
      </w:r>
    </w:p>
    <w:p>
      <w:pPr>
        <w:spacing w:before="40" w:after="80" w:line="300" w:lineRule="auto"/>
      </w:pPr>
      <w:r>
        <w:rPr>
          <w:rFonts w:ascii="Times New Roman" w:hAnsi="Times New Roman"/>
          <w:sz w:val="22"/>
        </w:rPr>
        <w:t>Q2["PuLP Classical ILP Solver (CBC)"]</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L7 ["Layer 7: Utility Scorer"]</w:t>
      </w:r>
    </w:p>
    <w:p>
      <w:pPr>
        <w:spacing w:before="40" w:after="80" w:line="300" w:lineRule="auto"/>
      </w:pPr>
      <w:r>
        <w:rPr>
          <w:rFonts w:ascii="Times New Roman" w:hAnsi="Times New Roman"/>
          <w:sz w:val="22"/>
        </w:rPr>
        <w:t>U1["Response Utility Model (100% Decision Fidelity)"]</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L8 ["Layer 8: Orchestrator"]</w:t>
      </w:r>
    </w:p>
    <w:p>
      <w:pPr>
        <w:spacing w:before="40" w:after="80" w:line="300" w:lineRule="auto"/>
      </w:pPr>
      <w:r>
        <w:rPr>
          <w:rFonts w:ascii="Times New Roman" w:hAnsi="Times New Roman"/>
          <w:sz w:val="22"/>
        </w:rPr>
        <w:t>E1["Cloud/Edge Playbook Execution &amp; RBAC Explainability Reports"]</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subgraph L9 ["Layer 9: System B Experience Memory"]</w:t>
      </w:r>
    </w:p>
    <w:p>
      <w:pPr>
        <w:spacing w:before="40" w:after="80" w:line="300" w:lineRule="auto"/>
      </w:pPr>
      <w:r>
        <w:rPr>
          <w:rFonts w:ascii="Times New Roman" w:hAnsi="Times New Roman"/>
          <w:sz w:val="22"/>
        </w:rPr>
        <w:t>FB1["Validation Gate -&gt; Experience Memory -&gt; Future Constraint DAG"]</w:t>
      </w:r>
    </w:p>
    <w:p>
      <w:pPr>
        <w:spacing w:before="40" w:after="80" w:line="300" w:lineRule="auto"/>
      </w:pPr>
      <w:r>
        <w:rPr>
          <w:rFonts w:ascii="Times New Roman" w:hAnsi="Times New Roman"/>
          <w:sz w:val="22"/>
        </w:rPr>
        <w:t>end</w:t>
      </w:r>
    </w:p>
    <w:p>
      <w:pPr>
        <w:spacing w:before="40" w:after="80" w:line="300" w:lineRule="auto"/>
      </w:pPr>
      <w:r>
        <w:rPr>
          <w:rFonts w:ascii="Times New Roman" w:hAnsi="Times New Roman"/>
          <w:sz w:val="22"/>
        </w:rPr>
        <w:t>Edge --&gt; P1 --&gt; T1 --&gt; F1</w:t>
      </w:r>
    </w:p>
    <w:p>
      <w:pPr>
        <w:spacing w:before="40" w:after="80" w:line="300" w:lineRule="auto"/>
      </w:pPr>
      <w:r>
        <w:rPr>
          <w:rFonts w:ascii="Times New Roman" w:hAnsi="Times New Roman"/>
          <w:sz w:val="22"/>
        </w:rPr>
        <w:t>F1 --&gt;|Weight Updates Only| F2 --&gt; F3</w:t>
      </w:r>
    </w:p>
    <w:p>
      <w:pPr>
        <w:spacing w:before="40" w:after="80" w:line="300" w:lineRule="auto"/>
      </w:pPr>
      <w:r>
        <w:rPr>
          <w:rFonts w:ascii="Times New Roman" w:hAnsi="Times New Roman"/>
          <w:sz w:val="22"/>
        </w:rPr>
        <w:t>F3 --&gt;|Threat Probabilities si| C1 --&gt; K1</w:t>
      </w:r>
    </w:p>
    <w:p>
      <w:pPr>
        <w:spacing w:before="40" w:after="80" w:line="300" w:lineRule="auto"/>
      </w:pPr>
      <w:r>
        <w:rPr>
          <w:rFonts w:ascii="Times New Roman" w:hAnsi="Times New Roman"/>
          <w:sz w:val="22"/>
        </w:rPr>
        <w:t>K1 --&gt;|Context &amp; Confidences| IR1 --&gt; IR2 --&gt; IR3 --&gt; IR4</w:t>
      </w:r>
    </w:p>
    <w:p>
      <w:pPr>
        <w:spacing w:before="40" w:after="80" w:line="300" w:lineRule="auto"/>
      </w:pPr>
      <w:r>
        <w:rPr>
          <w:rFonts w:ascii="Times New Roman" w:hAnsi="Times New Roman"/>
          <w:sz w:val="22"/>
        </w:rPr>
        <w:t>IR4 --&gt;|Compiled Models| Q1 &amp; Q2</w:t>
      </w:r>
    </w:p>
    <w:p>
      <w:pPr>
        <w:spacing w:before="40" w:after="80" w:line="300" w:lineRule="auto"/>
      </w:pPr>
      <w:r>
        <w:rPr>
          <w:rFonts w:ascii="Times New Roman" w:hAnsi="Times New Roman"/>
          <w:sz w:val="22"/>
        </w:rPr>
        <w:t>Q1 &amp; Q2 --&gt;|Mitigation Vector x| U1 --&gt; E1</w:t>
      </w:r>
    </w:p>
    <w:p>
      <w:pPr>
        <w:spacing w:before="40" w:after="80" w:line="300" w:lineRule="auto"/>
      </w:pPr>
      <w:r>
        <w:rPr>
          <w:rFonts w:ascii="Times New Roman" w:hAnsi="Times New Roman"/>
          <w:sz w:val="22"/>
        </w:rPr>
        <w:t>E1 --&gt;|Incident Outcome| FB1</w:t>
      </w:r>
    </w:p>
    <w:p>
      <w:pPr>
        <w:spacing w:before="40" w:after="80" w:line="300" w:lineRule="auto"/>
      </w:pPr>
      <w:r>
        <w:rPr>
          <w:rFonts w:ascii="Times New Roman" w:hAnsi="Times New Roman"/>
          <w:sz w:val="22"/>
        </w:rPr>
        <w:t>FB1 --&gt;|Validated Constraint Rules| IR1</w:t>
      </w:r>
    </w:p>
    <w:p>
      <w:pPr>
        <w:spacing w:before="40" w:after="80" w:line="300" w:lineRule="auto"/>
      </w:pPr>
      <w:r>
        <w:rPr>
          <w:rFonts w:ascii="Times New Roman" w:hAnsi="Times New Roman"/>
          <w:sz w:val="22"/>
        </w:rPr>
      </w:r>
    </w:p>
    <w:p>
      <w:pPr>
        <w:keepNext/>
        <w:spacing w:before="200" w:after="80"/>
      </w:pPr>
      <w:r>
        <w:rPr>
          <w:rFonts w:ascii="Times New Roman" w:hAnsi="Times New Roman"/>
          <w:b/>
          <w:color w:val="0F172A"/>
          <w:sz w:val="24"/>
        </w:rPr>
        <w:t>FIG. 2: System Control Flow &amp; Constraint Compilation Pipeline</w:t>
      </w:r>
    </w:p>
    <w:p>
      <w:pPr>
        <w:spacing w:before="40" w:after="80" w:line="300" w:lineRule="auto"/>
      </w:pPr>
      <w:r>
        <w:rPr>
          <w:rFonts w:ascii="Times New Roman" w:hAnsi="Times New Roman"/>
          <w:sz w:val="22"/>
        </w:rPr>
        <w:t>![FIG. 2: System Control Flow &amp; Constraint Compilation Pipeline](processflowdiagram.png)</w:t>
      </w:r>
    </w:p>
    <w:p>
      <w:pPr>
        <w:keepNext/>
        <w:spacing w:before="280" w:after="120"/>
      </w:pPr>
      <w:r>
        <w:rPr>
          <w:rFonts w:ascii="Times New Roman" w:hAnsi="Times New Roman"/>
          <w:b/>
          <w:color w:val="1E3A8A"/>
          <w:sz w:val="27"/>
        </w:rPr>
        <w:t>8. DETAILED DESCRIPTION OF THE INVENTION</w:t>
      </w:r>
    </w:p>
    <w:p>
      <w:pPr>
        <w:keepNext/>
        <w:spacing w:before="200" w:after="80"/>
      </w:pPr>
      <w:r>
        <w:rPr>
          <w:rFonts w:ascii="Times New Roman" w:hAnsi="Times New Roman"/>
          <w:b/>
          <w:color w:val="0F172A"/>
          <w:sz w:val="24"/>
        </w:rPr>
        <w:t>Layer 0: Data Preprocessing &amp; Feature Standardization Engine</w:t>
      </w:r>
    </w:p>
    <w:p>
      <w:pPr>
        <w:spacing w:before="40" w:after="80" w:line="300" w:lineRule="auto"/>
      </w:pPr>
      <w:r>
        <w:rPr>
          <w:rFonts w:ascii="Times New Roman" w:hAnsi="Times New Roman"/>
          <w:sz w:val="22"/>
        </w:rPr>
        <w:t>The DataPreprocessor pipeline handles mixed-type inputs across 36 numeric protocol columns extracted from the Edge-IIoTset dataset. The pipeline applies six sequential operations:</w:t>
      </w:r>
    </w:p>
    <w:p>
      <w:pPr>
        <w:spacing w:before="40" w:after="60"/>
        <w:ind w:left="360"/>
      </w:pPr>
      <w:r>
        <w:rPr>
          <w:rFonts w:ascii="Times New Roman" w:hAnsi="Times New Roman"/>
          <w:b/>
          <w:sz w:val="22"/>
        </w:rPr>
        <w:t xml:space="preserve">1. </w:t>
      </w:r>
      <w:r>
        <w:rPr>
          <w:rFonts w:ascii="Times New Roman" w:hAnsi="Times New Roman"/>
          <w:sz w:val="22"/>
        </w:rPr>
        <w:t>Coercion of mixed hex/string tokens to floating-point representation.</w:t>
      </w:r>
    </w:p>
    <w:p>
      <w:pPr>
        <w:spacing w:before="40" w:after="60"/>
        <w:ind w:left="360"/>
      </w:pPr>
      <w:r>
        <w:rPr>
          <w:rFonts w:ascii="Times New Roman" w:hAnsi="Times New Roman"/>
          <w:b/>
          <w:sz w:val="22"/>
        </w:rPr>
        <w:t xml:space="preserve">2. </w:t>
      </w:r>
      <w:r>
        <w:rPr>
          <w:rFonts w:ascii="Times New Roman" w:hAnsi="Times New Roman"/>
          <w:sz w:val="22"/>
        </w:rPr>
        <w:t>Column-wise median imputation for missing values.</w:t>
      </w:r>
    </w:p>
    <w:p>
      <w:pPr>
        <w:spacing w:before="40" w:after="60"/>
        <w:ind w:left="360"/>
      </w:pPr>
      <w:r>
        <w:rPr>
          <w:rFonts w:ascii="Times New Roman" w:hAnsi="Times New Roman"/>
          <w:b/>
          <w:sz w:val="22"/>
        </w:rPr>
        <w:t xml:space="preserve">3. </w:t>
      </w:r>
      <w:r>
        <w:rPr>
          <w:rFonts w:ascii="Times New Roman" w:hAnsi="Times New Roman"/>
          <w:sz w:val="22"/>
        </w:rPr>
        <w:t>Outlier clipping using $1.5 \times \text{IQR}$ whisker bounds.</w:t>
      </w:r>
    </w:p>
    <w:p>
      <w:pPr>
        <w:spacing w:before="40" w:after="60"/>
        <w:ind w:left="360"/>
      </w:pPr>
      <w:r>
        <w:rPr>
          <w:rFonts w:ascii="Times New Roman" w:hAnsi="Times New Roman"/>
          <w:b/>
          <w:sz w:val="22"/>
        </w:rPr>
        <w:t xml:space="preserve">4. </w:t>
      </w:r>
      <w:r>
        <w:rPr>
          <w:rFonts w:ascii="Times New Roman" w:hAnsi="Times New Roman"/>
          <w:sz w:val="22"/>
        </w:rPr>
        <w:t>Heavy-tail logarithmic compression via $\ln(1 + |x|)$.</w:t>
      </w:r>
    </w:p>
    <w:p>
      <w:pPr>
        <w:spacing w:before="40" w:after="60"/>
        <w:ind w:left="360"/>
      </w:pPr>
      <w:r>
        <w:rPr>
          <w:rFonts w:ascii="Times New Roman" w:hAnsi="Times New Roman"/>
          <w:b/>
          <w:sz w:val="22"/>
        </w:rPr>
        <w:t xml:space="preserve">5. </w:t>
      </w:r>
      <w:r>
        <w:rPr>
          <w:rFonts w:ascii="Times New Roman" w:hAnsi="Times New Roman"/>
          <w:sz w:val="22"/>
        </w:rPr>
        <w:t>Normalization to zero mean and unit variance via StandardScaler.</w:t>
      </w:r>
    </w:p>
    <w:p>
      <w:pPr>
        <w:spacing w:before="40" w:after="60"/>
        <w:ind w:left="360"/>
      </w:pPr>
      <w:r>
        <w:rPr>
          <w:rFonts w:ascii="Times New Roman" w:hAnsi="Times New Roman"/>
          <w:b/>
          <w:sz w:val="22"/>
        </w:rPr>
        <w:t xml:space="preserve">6. </w:t>
      </w:r>
      <w:r>
        <w:rPr>
          <w:rFonts w:ascii="Times New Roman" w:hAnsi="Times New Roman"/>
          <w:sz w:val="22"/>
        </w:rPr>
        <w:t>Variance filtering to eliminate near-constant feature columns ($\sigma^2 &lt; 10^{-6}$).</w:t>
      </w:r>
    </w:p>
    <w:p>
      <w:pPr>
        <w:keepNext/>
        <w:spacing w:before="200" w:after="80"/>
      </w:pPr>
      <w:r>
        <w:rPr>
          <w:rFonts w:ascii="Times New Roman" w:hAnsi="Times New Roman"/>
          <w:b/>
          <w:color w:val="0F172A"/>
          <w:sz w:val="24"/>
        </w:rPr>
        <w:t>Layer 1 &amp; 2: Distributed Edge Telemetry &amp; Federated Learning Hub</w:t>
      </w:r>
    </w:p>
    <w:p>
      <w:pPr>
        <w:pStyle w:val="ListBullet"/>
        <w:spacing w:before="20" w:after="40"/>
      </w:pPr>
      <w:r>
        <w:rPr>
          <w:rFonts w:ascii="Times New Roman" w:hAnsi="Times New Roman"/>
          <w:sz w:val="22"/>
        </w:rPr>
        <w:t>Local Training: Edge nodes execute localized neural networks (PyTorchMLP and PyTorch1DCNN) on local traffic shards.</w:t>
      </w:r>
    </w:p>
    <w:p>
      <w:pPr>
        <w:pStyle w:val="ListBullet"/>
        <w:spacing w:before="20" w:after="40"/>
      </w:pPr>
      <w:r>
        <w:rPr>
          <w:rFonts w:ascii="Times New Roman" w:hAnsi="Times New Roman"/>
          <w:sz w:val="22"/>
        </w:rPr>
        <w:t>Privacy-Preserving Edge Architecture: Raw network telemetry remains 100% local. Only model weight tensors $\mathbf{w}k$ are transmitted to the central server.</w:t>
      </w:r>
    </w:p>
    <w:p>
      <w:pPr>
        <w:pStyle w:val="ListBullet"/>
        <w:spacing w:before="20" w:after="40"/>
      </w:pPr>
      <w:r>
        <w:rPr>
          <w:rFonts w:ascii="Times New Roman" w:hAnsi="Times New Roman"/>
          <w:sz w:val="22"/>
        </w:rPr>
        <w:t>FedAvg Aggregation: The central server computes global model weights using weighted parameter averaging:</w:t>
      </w:r>
    </w:p>
    <w:p>
      <w:pPr>
        <w:spacing w:before="40" w:after="80" w:line="300" w:lineRule="auto"/>
      </w:pPr>
      <w:r>
        <w:rPr>
          <w:rFonts w:ascii="Times New Roman" w:hAnsi="Times New Roman"/>
          <w:sz w:val="22"/>
        </w:rPr>
        <w:t>$$\mathbf{w}{t+1} = \sum{k=1}^K \frac{nk}{n} \mathbf{w}{t+1}^k$$</w:t>
      </w:r>
    </w:p>
    <w:p>
      <w:pPr>
        <w:pStyle w:val="ListBullet"/>
        <w:spacing w:before="20" w:after="40"/>
      </w:pPr>
      <w:r>
        <w:rPr>
          <w:rFonts w:ascii="Times New Roman" w:hAnsi="Times New Roman"/>
          <w:sz w:val="22"/>
        </w:rPr>
        <w:t>ROC Youden's J Calibration: Thresholds are calibrated on validation data using Youden's J statistic ($J = \text{Sensitivity} + \text{Specificity} - 1$), yielding 94.05% Mean Validation Accuracy across cross-validation folds, 98.82% Precision, and 0.9577 ROC-AUC, achieving 94.25% Test Accuracy on the 400-sample holdout test partition ($377 / 400$ correctly classified from the 2,000-sample evaluation dataset).</w:t>
      </w:r>
    </w:p>
    <w:p>
      <w:pPr>
        <w:keepNext/>
        <w:spacing w:before="200" w:after="80"/>
      </w:pPr>
      <w:r>
        <w:rPr>
          <w:rFonts w:ascii="Times New Roman" w:hAnsi="Times New Roman"/>
          <w:b/>
          <w:color w:val="0F172A"/>
          <w:sz w:val="24"/>
        </w:rPr>
        <w:t>Layer 3 &amp; 4: Context Aggregation &amp; Confidence Gating</w:t>
      </w:r>
    </w:p>
    <w:p>
      <w:pPr>
        <w:spacing w:before="40" w:after="80" w:line="300" w:lineRule="auto"/>
      </w:pPr>
      <w:r>
        <w:rPr>
          <w:rFonts w:ascii="Times New Roman" w:hAnsi="Times New Roman"/>
          <w:sz w:val="22"/>
        </w:rPr>
        <w:t>Layer 3 aggregates asset business criticality $ri$ (Confidentiality, Integrity, Availability ratings 1–5), SLA downtime cost ($\$/\text{min}$), and encoded policy rules (e.g. HIPAA 45 CFR § 164.312, DPDP Act 2023). Layer 4 fuses detection confidence, sensor reliability, and data freshness into a composite factor $ci \in [0, 1]$, gating action eligibility into HIGH, MODERATE, and LOW risk tiers.</w:t>
      </w:r>
    </w:p>
    <w:p>
      <w:pPr>
        <w:keepNext/>
        <w:spacing w:before="200" w:after="80"/>
      </w:pPr>
      <w:r>
        <w:rPr>
          <w:rFonts w:ascii="Times New Roman" w:hAnsi="Times New Roman"/>
          <w:b/>
          <w:color w:val="0F172A"/>
          <w:sz w:val="24"/>
        </w:rPr>
        <w:t>Layer 5: Security Constraint Compiler Architecture (★ Core Invention)</w:t>
      </w:r>
    </w:p>
    <w:p>
      <w:pPr>
        <w:spacing w:before="40" w:after="80" w:line="300" w:lineRule="auto"/>
      </w:pPr>
      <w:r>
        <w:rPr>
          <w:rFonts w:ascii="Times New Roman" w:hAnsi="Times New Roman"/>
          <w:sz w:val="22"/>
        </w:rPr>
        <w:t>Layer 5 is a computer-implemented constraint transformation pipeline that dynamically constructs the incident-specific mathematical decision problem before solving it. The architecture operates through a formal 9-step causal transformation sequence:</w:t>
      </w:r>
    </w:p>
    <w:p>
      <w:pPr>
        <w:spacing w:before="40" w:after="80" w:line="300" w:lineRule="auto"/>
      </w:pPr>
      <w:r>
        <w:rPr>
          <w:rFonts w:ascii="Times New Roman" w:hAnsi="Times New Roman"/>
          <w:sz w:val="22"/>
        </w:rPr>
        <w:t>$$\mathcal{S} \xrightarrow{\quad} \mathcal{A} \xrightarrow{\quad} \mathcal{F}(\mathcal{S},\mathcal{A}) \xrightarrow{\quad} \mathcal{A}' \xrightarrow{\quad} \mathcal{E}(\mathcal{A}') \xrightarrow{\quad} \mathcal{D} \xrightarrow{\quad} \mathcal{P} \xrightarrow{\quad} \mathcal{B}(\mathcal{S},\mathcal{A}') \xrightarrow{\quad} \mathcal{C} \xrightarrow{\quad} \text{SC-IR} \xrightarrow{\quad} \{\text{QUBO}, \text{ILP}\}$$</w:t>
      </w:r>
    </w:p>
    <w:p>
      <w:pPr>
        <w:spacing w:before="40" w:after="80" w:line="300" w:lineRule="auto"/>
      </w:pPr>
      <w:r>
        <w:rPr>
          <w:rFonts w:ascii="Times New Roman" w:hAnsi="Times New Roman"/>
          <w:sz w:val="22"/>
        </w:rPr>
        <w:t>where:</w:t>
      </w:r>
    </w:p>
    <w:p>
      <w:pPr>
        <w:spacing w:before="40" w:after="60"/>
        <w:ind w:left="360"/>
      </w:pPr>
      <w:r>
        <w:rPr>
          <w:rFonts w:ascii="Times New Roman" w:hAnsi="Times New Roman"/>
          <w:b/>
          <w:sz w:val="22"/>
        </w:rPr>
        <w:t xml:space="preserve">1. </w:t>
      </w:r>
      <w:r>
        <w:rPr>
          <w:rFonts w:ascii="Times New Roman" w:hAnsi="Times New Roman"/>
          <w:sz w:val="22"/>
        </w:rPr>
        <w:t>Security State Space ($\mathcal{S}$): The multi-dimensional runtime state vector aggregating telemetry threat scores $si$, confidence metrics $ci$, asset business criticality $ri$ (C-I-A triples), and statutory policy applicability flags.</w:t>
      </w:r>
    </w:p>
    <w:p>
      <w:pPr>
        <w:spacing w:before="40" w:after="60"/>
        <w:ind w:left="360"/>
      </w:pPr>
      <w:r>
        <w:rPr>
          <w:rFonts w:ascii="Times New Roman" w:hAnsi="Times New Roman"/>
          <w:b/>
          <w:sz w:val="22"/>
        </w:rPr>
        <w:t xml:space="preserve">2. </w:t>
      </w:r>
      <w:r>
        <w:rPr>
          <w:rFonts w:ascii="Times New Roman" w:hAnsi="Times New Roman"/>
          <w:sz w:val="22"/>
        </w:rPr>
        <w:t>Candidate Action Set ($\mathcal{A}$): Universal response action vocabulary $\mathcal{A} = \{\text{monitor}, \text{rate\limit}, \text{block\ip}, \text{rotate\credentials}, \text{isolate}\}$.</w:t>
      </w:r>
    </w:p>
    <w:p>
      <w:pPr>
        <w:spacing w:before="40" w:after="60"/>
        <w:ind w:left="360"/>
      </w:pPr>
      <w:r>
        <w:rPr>
          <w:rFonts w:ascii="Times New Roman" w:hAnsi="Times New Roman"/>
          <w:b/>
          <w:sz w:val="22"/>
        </w:rPr>
        <w:t xml:space="preserve">3. </w:t>
      </w:r>
      <w:r>
        <w:rPr>
          <w:rFonts w:ascii="Times New Roman" w:hAnsi="Times New Roman"/>
          <w:sz w:val="22"/>
        </w:rPr>
        <w:t>Feasibility Masking Function ($\mathcal{F}(\mathcal{S},\mathcal{A})$): Evaluates physical hardware limits, operational constraints, and statutory access boundaries to identify prohibited actions ($F{i,a} = 0$).</w:t>
      </w:r>
    </w:p>
    <w:p>
      <w:pPr>
        <w:spacing w:before="40" w:after="60"/>
        <w:ind w:left="360"/>
      </w:pPr>
      <w:r>
        <w:rPr>
          <w:rFonts w:ascii="Times New Roman" w:hAnsi="Times New Roman"/>
          <w:b/>
          <w:sz w:val="22"/>
        </w:rPr>
        <w:t xml:space="preserve">4. </w:t>
      </w:r>
      <w:r>
        <w:rPr>
          <w:rFonts w:ascii="Times New Roman" w:hAnsi="Times New Roman"/>
          <w:sz w:val="22"/>
        </w:rPr>
        <w:t>Active Action Domain ($\mathcal{A}'$): The reduced, physically admissible decision domain $\mathcal{A}' = \{a \in \mathcal{A} \mid \mathcal{F}(si, a) = 1\}$. Decision variables $x{i,a}$ are allocated strictly for admissible actions $a \in \mathcal{A}'$, mathematically excising forbidden actions from the solver search space.</w:t>
      </w:r>
    </w:p>
    <w:p>
      <w:pPr>
        <w:spacing w:before="40" w:after="60"/>
        <w:ind w:left="360"/>
      </w:pPr>
      <w:r>
        <w:rPr>
          <w:rFonts w:ascii="Times New Roman" w:hAnsi="Times New Roman"/>
          <w:b/>
          <w:sz w:val="22"/>
        </w:rPr>
        <w:t xml:space="preserve">5. </w:t>
      </w:r>
      <w:r>
        <w:rPr>
          <w:rFonts w:ascii="Times New Roman" w:hAnsi="Times New Roman"/>
          <w:sz w:val="22"/>
        </w:rPr>
        <w:t>Conflict Hyperedge Elimination ($\mathcal{E}(\mathcal{A}')$): Operational conflicts and mutual exclusions $e = (a1, a2)$ are evaluated strictly over active pairs where $a1, a2 \in \mathcal{A}'$.</w:t>
      </w:r>
    </w:p>
    <w:p>
      <w:pPr>
        <w:spacing w:before="40" w:after="60"/>
        <w:ind w:left="360"/>
      </w:pPr>
      <w:r>
        <w:rPr>
          <w:rFonts w:ascii="Times New Roman" w:hAnsi="Times New Roman"/>
          <w:b/>
          <w:sz w:val="22"/>
        </w:rPr>
        <w:t xml:space="preserve">6. </w:t>
      </w:r>
      <w:r>
        <w:rPr>
          <w:rFonts w:ascii="Times New Roman" w:hAnsi="Times New Roman"/>
          <w:sz w:val="22"/>
        </w:rPr>
        <w:t>Dependency Graph Propagation ($\mathcal{D}$): Causal DAG propagation cascading action pruning through prerequisites (e.g. prerequisite snapshot before isolation) and downstream side-effects.</w:t>
      </w:r>
    </w:p>
    <w:p>
      <w:pPr>
        <w:spacing w:before="40" w:after="60"/>
        <w:ind w:left="360"/>
      </w:pPr>
      <w:r>
        <w:rPr>
          <w:rFonts w:ascii="Times New Roman" w:hAnsi="Times New Roman"/>
          <w:b/>
          <w:sz w:val="22"/>
        </w:rPr>
        <w:t xml:space="preserve">7. </w:t>
      </w:r>
      <w:r>
        <w:rPr>
          <w:rFonts w:ascii="Times New Roman" w:hAnsi="Times New Roman"/>
          <w:sz w:val="22"/>
        </w:rPr>
        <w:t>Policy Safeguard Invariants ($\mathcal{P}$): Encoding non-negotiable regulatory technical safeguards (e.g. HIPAA 45 CFR § 164.312(a)(1) access controls) and exactly-one invariance constraints $\sum{a \in \mathcal{A}'} x{i,a} = 1$.</w:t>
      </w:r>
    </w:p>
    <w:p>
      <w:pPr>
        <w:spacing w:before="40" w:after="60"/>
        <w:ind w:left="360"/>
      </w:pPr>
      <w:r>
        <w:rPr>
          <w:rFonts w:ascii="Times New Roman" w:hAnsi="Times New Roman"/>
          <w:b/>
          <w:sz w:val="22"/>
        </w:rPr>
        <w:t xml:space="preserve">8. </w:t>
      </w:r>
      <w:r>
        <w:rPr>
          <w:rFonts w:ascii="Times New Roman" w:hAnsi="Times New Roman"/>
          <w:sz w:val="22"/>
        </w:rPr>
        <w:t>Operational Budget Bound Synthesis ($\mathcal{B}(\mathcal{S},\mathcal{A}')$): Incident-specific budget $B$ computed as a function of active action costs and threat severity: $B = \min(\text{max\budget}, \max(\text{min\cost}, \text{mean\cost} \cdot (1 + si^{\text{effective}})))$.</w:t>
      </w:r>
    </w:p>
    <w:p>
      <w:pPr>
        <w:spacing w:before="40" w:after="60"/>
        <w:ind w:left="360"/>
      </w:pPr>
      <w:r>
        <w:rPr>
          <w:rFonts w:ascii="Times New Roman" w:hAnsi="Times New Roman"/>
          <w:b/>
          <w:sz w:val="22"/>
        </w:rPr>
        <w:t xml:space="preserve">9. </w:t>
      </w:r>
      <w:r>
        <w:rPr>
          <w:rFonts w:ascii="Times New Roman" w:hAnsi="Times New Roman"/>
          <w:sz w:val="22"/>
        </w:rPr>
        <w:t>Constraint Partitioning &amp; SC-IR Construction ($\mathcal{C} \to \text{SC-IR}$): Partitioning into Hard Invariants (non-relaxable physical limits, policy mandates, invariance constraints, budget ceilings) and Soft Preferences (downtime cost penalties, switching churn penalties), serialized into a canonical, solver-independent JSON representation.</w:t>
      </w:r>
    </w:p>
    <w:p>
      <w:pPr>
        <w:spacing w:before="40" w:after="80" w:line="300" w:lineRule="auto"/>
      </w:pPr>
      <w:r>
        <w:rPr>
          <w:rFonts w:ascii="Times New Roman" w:hAnsi="Times New Roman"/>
          <w:sz w:val="22"/>
        </w:rPr>
        <w:t>The Layer 5 compiler architecture is realized via four specialized computer-implemented engines:</w:t>
      </w:r>
    </w:p>
    <w:p>
      <w:pPr>
        <w:pStyle w:val="ListBullet"/>
        <w:spacing w:before="20" w:after="40"/>
      </w:pPr>
      <w:r>
        <w:rPr>
          <w:rFonts w:ascii="Times New Roman" w:hAnsi="Times New Roman"/>
          <w:sz w:val="22"/>
        </w:rPr>
        <w:t>constraintir.py: Synthesizes the canonical Security Constraint Intermediate Representation (SC-IR) with explicit Hard vs. Soft partitioning.</w:t>
      </w:r>
    </w:p>
    <w:p>
      <w:pPr>
        <w:pStyle w:val="ListBullet"/>
        <w:spacing w:before="20" w:after="40"/>
      </w:pPr>
      <w:r>
        <w:rPr>
          <w:rFonts w:ascii="Times New Roman" w:hAnsi="Times New Roman"/>
          <w:sz w:val="22"/>
        </w:rPr>
        <w:t>dependencygraph.py: Executes staged causal chain propagation across the Constraint Dependency Graph (DAG) for variable excision, conflict hyperedge restructuring, and budget bound synthesis.</w:t>
      </w:r>
    </w:p>
    <w:p>
      <w:pPr>
        <w:pStyle w:val="ListBullet"/>
        <w:spacing w:before="20" w:after="40"/>
      </w:pPr>
      <w:r>
        <w:rPr>
          <w:rFonts w:ascii="Times New Roman" w:hAnsi="Times New Roman"/>
          <w:sz w:val="22"/>
        </w:rPr>
        <w:t>safetycertifier.py: Evaluates the 7-point deterministic pre-solve invariant suite and generates the cryptographic SHA-256 state integrity digest.</w:t>
      </w:r>
    </w:p>
    <w:p>
      <w:pPr>
        <w:pStyle w:val="ListBullet"/>
        <w:spacing w:before="20" w:after="40"/>
      </w:pPr>
      <w:r>
        <w:rPr>
          <w:rFonts w:ascii="Times New Roman" w:hAnsi="Times New Roman"/>
          <w:sz w:val="22"/>
        </w:rPr>
        <w:t>formulationcompiler.py: Compiles the verified SC-IR directly into target Qiskit QUBO Hamiltonians and PuLP ILP decision models.</w:t>
      </w:r>
    </w:p>
    <w:p>
      <w:pPr>
        <w:keepNext/>
        <w:spacing w:before="120" w:after="60"/>
      </w:pPr>
      <w:r>
        <w:rPr>
          <w:rFonts w:ascii="Times New Roman" w:hAnsi="Times New Roman"/>
          <w:b/>
          <w:sz w:val="22"/>
        </w:rPr>
        <w:t>Worked Implementation Example: SCADA PLC Causal Chain Transformation</w:t>
      </w:r>
    </w:p>
    <w:p>
      <w:pPr>
        <w:spacing w:before="40" w:after="80" w:line="300" w:lineRule="auto"/>
      </w:pPr>
      <w:r>
        <w:rPr>
          <w:rFonts w:ascii="Times New Roman" w:hAnsi="Times New Roman"/>
          <w:sz w:val="22"/>
        </w:rPr>
        <w:t>To demonstrate the deterministic causal chain, consider an industrial SCADA Programmable Logic Controller (PLC) under high threat ($si = 0.85$, $ci = 0.92$):</w:t>
      </w:r>
    </w:p>
    <w:p>
      <w:pPr>
        <w:spacing w:before="40" w:after="60"/>
        <w:ind w:left="360"/>
      </w:pPr>
      <w:r>
        <w:rPr>
          <w:rFonts w:ascii="Times New Roman" w:hAnsi="Times New Roman"/>
          <w:b/>
          <w:sz w:val="22"/>
        </w:rPr>
        <w:t xml:space="preserve">1. </w:t>
      </w:r>
      <w:r>
        <w:rPr>
          <w:rFonts w:ascii="Times New Roman" w:hAnsi="Times New Roman"/>
          <w:sz w:val="22"/>
        </w:rPr>
        <w:t>Physical State Evaluation: SCADA PLCs control physical kinetic machinery where network disconnection disrupts critical physical control loops.</w:t>
      </w:r>
    </w:p>
    <w:p>
      <w:pPr>
        <w:spacing w:before="40" w:after="60"/>
        <w:ind w:left="360"/>
      </w:pPr>
      <w:r>
        <w:rPr>
          <w:rFonts w:ascii="Times New Roman" w:hAnsi="Times New Roman"/>
          <w:b/>
          <w:sz w:val="22"/>
        </w:rPr>
        <w:t xml:space="preserve">2. </w:t>
      </w:r>
      <w:r>
        <w:rPr>
          <w:rFonts w:ascii="Times New Roman" w:hAnsi="Times New Roman"/>
          <w:sz w:val="22"/>
        </w:rPr>
        <w:t>Hardware Invariant Triggered: Feasibility evaluation determines $\text{isolate}$ is physically forbidden ($F{\text{PLC},\text{isolate}} = 0$).</w:t>
      </w:r>
    </w:p>
    <w:p>
      <w:pPr>
        <w:spacing w:before="40" w:after="60"/>
        <w:ind w:left="360"/>
      </w:pPr>
      <w:r>
        <w:rPr>
          <w:rFonts w:ascii="Times New Roman" w:hAnsi="Times New Roman"/>
          <w:b/>
          <w:sz w:val="22"/>
        </w:rPr>
        <w:t xml:space="preserve">3. </w:t>
      </w:r>
      <w:r>
        <w:rPr>
          <w:rFonts w:ascii="Times New Roman" w:hAnsi="Times New Roman"/>
          <w:sz w:val="22"/>
        </w:rPr>
        <w:t>Decision Variable Pruning: The decision variable $x{\text{PLC},\text{isolate}}$ is removed from the active variable domain $\mathcal{A}'{\text{PLC}}$, reducing $|\mathcal{A}'{\text{PLC}}|$ from 4 down to 3 candidate actions.</w:t>
      </w:r>
    </w:p>
    <w:p>
      <w:pPr>
        <w:spacing w:before="40" w:after="60"/>
        <w:ind w:left="360"/>
      </w:pPr>
      <w:r>
        <w:rPr>
          <w:rFonts w:ascii="Times New Roman" w:hAnsi="Times New Roman"/>
          <w:b/>
          <w:sz w:val="22"/>
        </w:rPr>
        <w:t xml:space="preserve">4. </w:t>
      </w:r>
      <w:r>
        <w:rPr>
          <w:rFonts w:ascii="Times New Roman" w:hAnsi="Times New Roman"/>
          <w:sz w:val="22"/>
        </w:rPr>
        <w:t>Conflict Hyperedge Elimination: In a 4-variable domain, the pairwise conflict hyperedge set involving isolate contains multiple conflict edges (e.g. (isolate, ratelimit)). Because isolate is pruned, all incident conflict hyperedges referencing isolate are eliminated ($\mathcal{E}(\mathcal{A}') \to 0$ edges).</w:t>
      </w:r>
    </w:p>
    <w:p>
      <w:pPr>
        <w:spacing w:before="40" w:after="60"/>
        <w:ind w:left="360"/>
      </w:pPr>
      <w:r>
        <w:rPr>
          <w:rFonts w:ascii="Times New Roman" w:hAnsi="Times New Roman"/>
          <w:b/>
          <w:sz w:val="22"/>
        </w:rPr>
        <w:t xml:space="preserve">5. </w:t>
      </w:r>
      <w:r>
        <w:rPr>
          <w:rFonts w:ascii="Times New Roman" w:hAnsi="Times New Roman"/>
          <w:sz w:val="22"/>
        </w:rPr>
        <w:t>Constraint Topology Shift: The constraint graph topology dynamically transforms (the SCADA PLC node degree and hyperedge count drop to zero, whereas an API Gateway maintains dense hyperedges).</w:t>
      </w:r>
    </w:p>
    <w:p>
      <w:pPr>
        <w:spacing w:before="40" w:after="60"/>
        <w:ind w:left="360"/>
      </w:pPr>
      <w:r>
        <w:rPr>
          <w:rFonts w:ascii="Times New Roman" w:hAnsi="Times New Roman"/>
          <w:b/>
          <w:sz w:val="22"/>
        </w:rPr>
        <w:t xml:space="preserve">6. </w:t>
      </w:r>
      <w:r>
        <w:rPr>
          <w:rFonts w:ascii="Times New Roman" w:hAnsi="Times New Roman"/>
          <w:sz w:val="22"/>
        </w:rPr>
        <w:t>Budget Recalculation: The maximum required mitigation cost is recomputed over the remaining admissible actions ($\mathcal{A}'{\text{PLC}} = \{\text{monitor}, \text{block\ip}, \text{rotate\credentials}\}$), lowering the operational budget ceiling from $\$1,500$ to $\$300$.</w:t>
      </w:r>
    </w:p>
    <w:p>
      <w:pPr>
        <w:spacing w:before="40" w:after="60"/>
        <w:ind w:left="360"/>
      </w:pPr>
      <w:r>
        <w:rPr>
          <w:rFonts w:ascii="Times New Roman" w:hAnsi="Times New Roman"/>
          <w:b/>
          <w:sz w:val="22"/>
        </w:rPr>
        <w:t xml:space="preserve">7. </w:t>
      </w:r>
      <w:r>
        <w:rPr>
          <w:rFonts w:ascii="Times New Roman" w:hAnsi="Times New Roman"/>
          <w:sz w:val="22"/>
        </w:rPr>
        <w:t>Formulation Compilation: The Formulation Compiler receives the validated SC-IR and generates an incident-specific QUBO or ILP model. Under high threat utility, a conventional soft-penalty formulation would execute the forbidden isolate action; Cloud Guardian's compiler, having eliminated $x{\text{PLC},\text{isolate}}$ entirely, compiles an optimization problem where isolate cannot be formulated or selected, producing the optimal admissible mitigation: rotatecredentials.</w:t>
      </w:r>
    </w:p>
    <w:p>
      <w:pPr>
        <w:keepNext/>
        <w:spacing w:before="120" w:after="60"/>
      </w:pPr>
      <w:r>
        <w:rPr>
          <w:rFonts w:ascii="Times New Roman" w:hAnsi="Times New Roman"/>
          <w:b/>
          <w:sz w:val="22"/>
        </w:rPr>
        <w:t>Pre-Solve Invariant Verification &amp; Decision Stability</w:t>
      </w:r>
    </w:p>
    <w:p>
      <w:pPr>
        <w:spacing w:before="40" w:after="80" w:line="300" w:lineRule="auto"/>
      </w:pPr>
      <w:r>
        <w:rPr>
          <w:rFonts w:ascii="Times New Roman" w:hAnsi="Times New Roman"/>
          <w:sz w:val="22"/>
        </w:rPr>
        <w:t>Prior to solver execution, the Pre-Solve Constraint Invariant Validator verifies 7 mathematical invariants:</w:t>
      </w:r>
    </w:p>
    <w:p>
      <w:pPr>
        <w:spacing w:before="40" w:after="60"/>
        <w:ind w:left="360"/>
      </w:pPr>
      <w:r>
        <w:rPr>
          <w:rFonts w:ascii="Times New Roman" w:hAnsi="Times New Roman"/>
          <w:b/>
          <w:sz w:val="22"/>
        </w:rPr>
        <w:t xml:space="preserve">1. </w:t>
      </w:r>
      <w:r>
        <w:rPr>
          <w:rFonts w:ascii="Times New Roman" w:hAnsi="Times New Roman"/>
          <w:sz w:val="22"/>
        </w:rPr>
        <w:t>Forbidden action elimination (zero illegal actions in variable domain $\mathcal{A}'$);</w:t>
      </w:r>
    </w:p>
    <w:p>
      <w:pPr>
        <w:spacing w:before="40" w:after="60"/>
        <w:ind w:left="360"/>
      </w:pPr>
      <w:r>
        <w:rPr>
          <w:rFonts w:ascii="Times New Roman" w:hAnsi="Times New Roman"/>
          <w:b/>
          <w:sz w:val="22"/>
        </w:rPr>
        <w:t xml:space="preserve">2. </w:t>
      </w:r>
      <w:r>
        <w:rPr>
          <w:rFonts w:ascii="Times New Roman" w:hAnsi="Times New Roman"/>
          <w:sz w:val="22"/>
        </w:rPr>
        <w:t>Feasible domain non-emptiness ($|\mathcal{A}'| \ge 1$);</w:t>
      </w:r>
    </w:p>
    <w:p>
      <w:pPr>
        <w:spacing w:before="40" w:after="60"/>
        <w:ind w:left="360"/>
      </w:pPr>
      <w:r>
        <w:rPr>
          <w:rFonts w:ascii="Times New Roman" w:hAnsi="Times New Roman"/>
          <w:b/>
          <w:sz w:val="22"/>
        </w:rPr>
        <w:t xml:space="preserve">3. </w:t>
      </w:r>
      <w:r>
        <w:rPr>
          <w:rFonts w:ascii="Times New Roman" w:hAnsi="Times New Roman"/>
          <w:sz w:val="22"/>
        </w:rPr>
        <w:t>Exactly-one invariance consistency;</w:t>
      </w:r>
    </w:p>
    <w:p>
      <w:pPr>
        <w:spacing w:before="40" w:after="60"/>
        <w:ind w:left="360"/>
      </w:pPr>
      <w:r>
        <w:rPr>
          <w:rFonts w:ascii="Times New Roman" w:hAnsi="Times New Roman"/>
          <w:b/>
          <w:sz w:val="22"/>
        </w:rPr>
        <w:t xml:space="preserve">4. </w:t>
      </w:r>
      <w:r>
        <w:rPr>
          <w:rFonts w:ascii="Times New Roman" w:hAnsi="Times New Roman"/>
          <w:sz w:val="22"/>
        </w:rPr>
        <w:t>Conflict hyperedge consistency (no references to pruned variables);</w:t>
      </w:r>
    </w:p>
    <w:p>
      <w:pPr>
        <w:spacing w:before="40" w:after="60"/>
        <w:ind w:left="360"/>
      </w:pPr>
      <w:r>
        <w:rPr>
          <w:rFonts w:ascii="Times New Roman" w:hAnsi="Times New Roman"/>
          <w:b/>
          <w:sz w:val="22"/>
        </w:rPr>
        <w:t xml:space="preserve">5. </w:t>
      </w:r>
      <w:r>
        <w:rPr>
          <w:rFonts w:ascii="Times New Roman" w:hAnsi="Times New Roman"/>
          <w:sz w:val="22"/>
        </w:rPr>
        <w:t>Budget feasibility verification (search space contains a feasible plan with cost $\le B$);</w:t>
      </w:r>
    </w:p>
    <w:p>
      <w:pPr>
        <w:spacing w:before="40" w:after="60"/>
        <w:ind w:left="360"/>
      </w:pPr>
      <w:r>
        <w:rPr>
          <w:rFonts w:ascii="Times New Roman" w:hAnsi="Times New Roman"/>
          <w:b/>
          <w:sz w:val="22"/>
        </w:rPr>
        <w:t xml:space="preserve">6. </w:t>
      </w:r>
      <w:r>
        <w:rPr>
          <w:rFonts w:ascii="Times New Roman" w:hAnsi="Times New Roman"/>
          <w:sz w:val="22"/>
        </w:rPr>
        <w:t>Encoded policy-rule satisfaction;</w:t>
      </w:r>
    </w:p>
    <w:p>
      <w:pPr>
        <w:spacing w:before="40" w:after="60"/>
        <w:ind w:left="360"/>
      </w:pPr>
      <w:r>
        <w:rPr>
          <w:rFonts w:ascii="Times New Roman" w:hAnsi="Times New Roman"/>
          <w:b/>
          <w:sz w:val="22"/>
        </w:rPr>
        <w:t xml:space="preserve">7. </w:t>
      </w:r>
      <w:r>
        <w:rPr>
          <w:rFonts w:ascii="Times New Roman" w:hAnsi="Times New Roman"/>
          <w:sz w:val="22"/>
        </w:rPr>
        <w:t>Provenance completeness audit trail.</w:t>
      </w:r>
    </w:p>
    <w:p>
      <w:pPr>
        <w:spacing w:before="40" w:after="80" w:line="300" w:lineRule="auto"/>
      </w:pPr>
      <w:r>
        <w:rPr>
          <w:rFonts w:ascii="Times New Roman" w:hAnsi="Times New Roman"/>
          <w:sz w:val="22"/>
        </w:rPr>
        <w:t>The verified state is sealed with an auditable cryptographic SHA-256 state integrity digest, establishing tamper-evident provenance while the deterministic validator enforces invariant safety.</w:t>
      </w:r>
    </w:p>
    <w:p>
      <w:pPr>
        <w:spacing w:before="40" w:after="80" w:line="300" w:lineRule="auto"/>
      </w:pPr>
      <w:r>
        <w:rPr>
          <w:rFonts w:ascii="Times New Roman" w:hAnsi="Times New Roman"/>
          <w:sz w:val="22"/>
        </w:rPr>
        <w:t>Crucially, Layer 5 injects an action switching penalty:</w:t>
      </w:r>
    </w:p>
    <w:p>
      <w:pPr>
        <w:spacing w:before="40" w:after="80" w:line="300" w:lineRule="auto"/>
      </w:pPr>
      <w:r>
        <w:rPr>
          <w:rFonts w:ascii="Times New Roman" w:hAnsi="Times New Roman"/>
          <w:sz w:val="22"/>
        </w:rPr>
        <w:t>$$P{\text{switch}} = \lambda{\text{switch}} \sumi \mathbb{I}(x{i,a} \neq x{i,a{\text{prev}}})$$</w:t>
      </w:r>
    </w:p>
    <w:p>
      <w:pPr>
        <w:spacing w:before="40" w:after="80" w:line="300" w:lineRule="auto"/>
      </w:pPr>
      <w:r>
        <w:rPr>
          <w:rFonts w:ascii="Times New Roman" w:hAnsi="Times New Roman"/>
          <w:sz w:val="22"/>
        </w:rPr>
        <w:t>penalizing unnecessary action switching and reducing operational decision oscillation across sequential evaluation rounds (reducing observed switching oscillation from 40% to 0% across evaluated multi-round scenarios).</w:t>
      </w:r>
    </w:p>
    <w:p>
      <w:pPr>
        <w:keepNext/>
        <w:spacing w:before="200" w:after="80"/>
      </w:pPr>
      <w:r>
        <w:rPr>
          <w:rFonts w:ascii="Times New Roman" w:hAnsi="Times New Roman"/>
          <w:b/>
          <w:color w:val="0F172A"/>
          <w:sz w:val="24"/>
        </w:rPr>
        <w:t>Layer 6: Multi-Solver Decision Optimization Engine &amp; Hard vs. Soft Precision</w:t>
      </w:r>
    </w:p>
    <w:p>
      <w:pPr>
        <w:spacing w:before="40" w:after="80" w:line="300" w:lineRule="auto"/>
      </w:pPr>
      <w:r>
        <w:rPr>
          <w:rFonts w:ascii="Times New Roman" w:hAnsi="Times New Roman"/>
          <w:sz w:val="22"/>
        </w:rPr>
        <w:t>The formulation compiler translates the verified SC-IR into target solver representations according to a strict mathematical hierarchy:</w:t>
      </w:r>
    </w:p>
    <w:p>
      <w:pPr>
        <w:spacing w:before="40" w:after="60"/>
        <w:ind w:left="360"/>
      </w:pPr>
      <w:r>
        <w:rPr>
          <w:rFonts w:ascii="Times New Roman" w:hAnsi="Times New Roman"/>
          <w:b/>
          <w:sz w:val="22"/>
        </w:rPr>
        <w:t xml:space="preserve">1. </w:t>
      </w:r>
      <w:r>
        <w:rPr>
          <w:rFonts w:ascii="Times New Roman" w:hAnsi="Times New Roman"/>
          <w:sz w:val="22"/>
        </w:rPr>
        <w:t>Semantic Partitioning: The SC-IR classifies constraints into Hard Invariants (physical hardware boundaries, statutory access mandates, exactly-one execution, budget ceiling) and Soft Preferences (operational downtime cost minimization, action switching churn).</w:t>
      </w:r>
    </w:p>
    <w:p>
      <w:pPr>
        <w:spacing w:before="40" w:after="60"/>
        <w:ind w:left="360"/>
      </w:pPr>
      <w:r>
        <w:rPr>
          <w:rFonts w:ascii="Times New Roman" w:hAnsi="Times New Roman"/>
          <w:b/>
          <w:sz w:val="22"/>
        </w:rPr>
        <w:t xml:space="preserve">2. </w:t>
      </w:r>
      <w:r>
        <w:rPr>
          <w:rFonts w:ascii="Times New Roman" w:hAnsi="Times New Roman"/>
          <w:sz w:val="22"/>
        </w:rPr>
        <w:t>PuLP Classical ILP Formulation: Hard invariants map directly to strict mathematical equality and inequality constraints:</w:t>
      </w:r>
    </w:p>
    <w:p>
      <w:pPr>
        <w:spacing w:before="40" w:after="80" w:line="300" w:lineRule="auto"/>
      </w:pPr>
      <w:r>
        <w:rPr>
          <w:rFonts w:ascii="Times New Roman" w:hAnsi="Times New Roman"/>
          <w:sz w:val="22"/>
        </w:rPr>
        <w:t>$$\min \sum{i,a} C{i,a} x{i,a} + \lambda{\text{switch}} \sumi \mathbb{I}(x{i,a} \neq x{i,a{\text{prev}}})$$</w:t>
      </w:r>
    </w:p>
    <w:p>
      <w:pPr>
        <w:spacing w:before="40" w:after="80" w:line="300" w:lineRule="auto"/>
      </w:pPr>
      <w:r>
        <w:rPr>
          <w:rFonts w:ascii="Times New Roman" w:hAnsi="Times New Roman"/>
          <w:sz w:val="22"/>
        </w:rPr>
        <w:t>$$\text{s.t.} \quad \sum{a \in \mathcal{A}'i} x{i,a} = 1 \; \forall i, \quad x{i,a} + x{j,b} \le 1 \; \forall (i,a,j,b) \in \mathcal{E}, \quad \sum{i,a} c{i,a} x{i,a} \le B$$</w:t>
      </w:r>
    </w:p>
    <w:p>
      <w:pPr>
        <w:spacing w:before="40" w:after="60"/>
        <w:ind w:left="360"/>
      </w:pPr>
      <w:r>
        <w:rPr>
          <w:rFonts w:ascii="Times New Roman" w:hAnsi="Times New Roman"/>
          <w:b/>
          <w:sz w:val="22"/>
        </w:rPr>
        <w:t xml:space="preserve">3. </w:t>
      </w:r>
      <w:r>
        <w:rPr>
          <w:rFonts w:ascii="Times New Roman" w:hAnsi="Times New Roman"/>
          <w:sz w:val="22"/>
        </w:rPr>
        <w:t>Qiskit QUBO Hamiltonian: Because QUBO is mathematically unconstrained ($x \in \{0, 1\}^n$), hard invariants cannot be expressed as strict constraint boundaries. Instead, the QUBO compiler encodes hard invariants as quadratic penalty structures whose penalty multipliers are selected to strictly dominate the maximum possible objective advantage associated with violating the corresponding invariant under the defined formulation bounds:</w:t>
      </w:r>
    </w:p>
    <w:p>
      <w:pPr>
        <w:spacing w:before="40" w:after="80" w:line="300" w:lineRule="auto"/>
      </w:pPr>
      <w:r>
        <w:rPr>
          <w:rFonts w:ascii="Times New Roman" w:hAnsi="Times New Roman"/>
          <w:sz w:val="22"/>
        </w:rPr>
        <w:t>$$\min{x} H(x) = \sum{i,a} C{i,a} x{i,a} + \lambda{\text{unique}} \sumi \left(\sum{a \in \mathcal{A}'i} x{i,a} - 1\right)^2 + \lambda{\text{conflict}} \sum{(i,a,j,b) \in \mathcal{E}} x{i,a} x{j,b} + \lambda{\text{budget}} \left(\sum{i,a} c{i,a} x{i,a} - B\right)^2$$</w:t>
      </w:r>
    </w:p>
    <w:p>
      <w:pPr>
        <w:spacing w:before="40" w:after="60"/>
        <w:ind w:left="360"/>
      </w:pPr>
      <w:r>
        <w:rPr>
          <w:rFonts w:ascii="Times New Roman" w:hAnsi="Times New Roman"/>
          <w:b/>
          <w:sz w:val="22"/>
        </w:rPr>
        <w:t xml:space="preserve">4. </w:t>
      </w:r>
      <w:r>
        <w:rPr>
          <w:rFonts w:ascii="Times New Roman" w:hAnsi="Times New Roman"/>
          <w:sz w:val="22"/>
        </w:rPr>
        <w:t>Upstream Variable Pruning: Crucially, forbidden actions are excised from the active action set prior to formulation ($\mathcal{A} \to \mathcal{A}'$). Neither ILP nor QUBO allocates variables for forbidden actions; they do not exist in the solver's search space.</w:t>
      </w:r>
    </w:p>
    <w:p>
      <w:pPr>
        <w:keepNext/>
        <w:spacing w:before="200" w:after="80"/>
      </w:pPr>
      <w:r>
        <w:rPr>
          <w:rFonts w:ascii="Times New Roman" w:hAnsi="Times New Roman"/>
          <w:b/>
          <w:color w:val="0F172A"/>
          <w:sz w:val="24"/>
        </w:rPr>
        <w:t>Layer 7, 8 &amp; 9: Utility Scorer, Orchestration &amp; System B Experience Memory</w:t>
      </w:r>
    </w:p>
    <w:p>
      <w:pPr>
        <w:spacing w:before="40" w:after="80" w:line="300" w:lineRule="auto"/>
      </w:pPr>
      <w:r>
        <w:rPr>
          <w:rFonts w:ascii="Times New Roman" w:hAnsi="Times New Roman"/>
          <w:sz w:val="22"/>
        </w:rPr>
        <w:t>Layer 7 verifies that the optimal vector $x^$ achieves 100.0% Decision Fidelity ($DF\% = 100\%$), confirming zero forbidden actions were selected. Layer 8 executes simulated cloud API stubs and generates 4 role-tailored audit reports (SOC, CISO, Auditor, Public).</w:t>
      </w:r>
    </w:p>
    <w:p>
      <w:pPr>
        <w:spacing w:before="40" w:after="80" w:line="300" w:lineRule="auto"/>
      </w:pPr>
      <w:r>
        <w:rPr>
          <w:rFonts w:ascii="Times New Roman" w:hAnsi="Times New Roman"/>
          <w:sz w:val="22"/>
        </w:rPr>
        <w:t>Layer 9 provides System B Experience Memory with a Validation Gate: Post-incident outcomes propose candidate structural constraint rules. The Validation Gate verifies that candidate rules never restrict baseline failsafes (e.g. monitor) or mutate hard physical/policy invariants. Approved rules are admitted into the Constraint Dependency Graph, structurally pruning variable spaces in subsequent incident rounds.</w:t>
      </w:r>
    </w:p>
    <w:p>
      <w:pPr>
        <w:spacing w:before="40" w:after="80" w:line="300" w:lineRule="auto"/>
      </w:pPr>
      <w:r>
        <w:rPr>
          <w:rFonts w:ascii="Times New Roman" w:hAnsi="Times New Roman"/>
          <w:sz w:val="22"/>
        </w:rPr>
        <w:t>&gt; [!NOTE]</w:t>
      </w:r>
    </w:p>
    <w:p>
      <w:pPr>
        <w:spacing w:before="40" w:after="80" w:line="300" w:lineRule="auto"/>
      </w:pPr>
      <w:r>
        <w:rPr>
          <w:rFonts w:ascii="Times New Roman" w:hAnsi="Times New Roman"/>
          <w:sz w:val="22"/>
        </w:rPr>
        <w:t>&gt; Patentability Considerations (Technical Effect Analysis): The disclosed computer-implemented system produces technical effects beyond generic data manipulation by dynamically modifying executable infrastructure-response state on physical assets, eliminating forbidden action selections, preventing decision oscillation in physical control equipment (e.g. SCADA PLCs), and generating solver-independent machine-executable response formulations.</w:t>
      </w:r>
    </w:p>
    <w:p>
      <w:pPr>
        <w:keepNext/>
        <w:spacing w:before="280" w:after="120"/>
      </w:pPr>
      <w:r>
        <w:rPr>
          <w:rFonts w:ascii="Times New Roman" w:hAnsi="Times New Roman"/>
          <w:b/>
          <w:color w:val="1E3A8A"/>
          <w:sz w:val="27"/>
        </w:rPr>
        <w:t>9. CLAIMS (CLAIMS OF THE INVENTION)</w:t>
      </w:r>
    </w:p>
    <w:p>
      <w:pPr>
        <w:spacing w:before="40" w:after="80" w:line="300" w:lineRule="auto"/>
      </w:pPr>
      <w:r>
        <w:rPr>
          <w:rFonts w:ascii="Times New Roman" w:hAnsi="Times New Roman"/>
          <w:sz w:val="22"/>
        </w:rPr>
        <w:t>WE CLAIM:</w:t>
      </w:r>
    </w:p>
    <w:p>
      <w:pPr>
        <w:spacing w:before="40" w:after="60"/>
        <w:ind w:left="360"/>
      </w:pPr>
      <w:r>
        <w:rPr>
          <w:rFonts w:ascii="Times New Roman" w:hAnsi="Times New Roman"/>
          <w:b/>
          <w:sz w:val="22"/>
        </w:rPr>
        <w:t xml:space="preserve">1. </w:t>
      </w:r>
      <w:r>
        <w:rPr>
          <w:rFonts w:ascii="Times New Roman" w:hAnsi="Times New Roman"/>
          <w:sz w:val="22"/>
        </w:rPr>
        <w:t>A computer-implemented method for real-time multi-objective security incident response optimization in heterogeneous computing and operational networks, comprising:</w:t>
      </w:r>
    </w:p>
    <w:p>
      <w:pPr>
        <w:pStyle w:val="ListBullet"/>
        <w:spacing w:before="20" w:after="40"/>
      </w:pPr>
      <w:r>
        <w:rPr>
          <w:rFonts w:ascii="Times New Roman" w:hAnsi="Times New Roman"/>
          <w:sz w:val="22"/>
        </w:rPr>
        <w:t>receiving calibrated threat detection probabilities generated by localized neural network edge anomaly detectors;</w:t>
      </w:r>
    </w:p>
    <w:p>
      <w:pPr>
        <w:pStyle w:val="ListBullet"/>
        <w:spacing w:before="20" w:after="40"/>
      </w:pPr>
      <w:r>
        <w:rPr>
          <w:rFonts w:ascii="Times New Roman" w:hAnsi="Times New Roman"/>
          <w:sz w:val="22"/>
        </w:rPr>
        <w:t>aggregating multi-factor context parameters including confidentiality-integrity-availability (C-I-A) asset criticality, service level agreement (SLA) priority, and encoded regulatory policy rules;</w:t>
      </w:r>
    </w:p>
    <w:p>
      <w:pPr>
        <w:pStyle w:val="ListBullet"/>
        <w:spacing w:before="20" w:after="40"/>
      </w:pPr>
      <w:r>
        <w:rPr>
          <w:rFonts w:ascii="Times New Roman" w:hAnsi="Times New Roman"/>
          <w:sz w:val="22"/>
        </w:rPr>
        <w:t>constructing a solver-independent Security Constraint Intermediate Representation (SC-IR) via a directed acyclic constraint dependency graph defining resource-specific variable domains, conflict hyperedges, invariance constraints, and an action switching penalty;</w:t>
      </w:r>
    </w:p>
    <w:p>
      <w:pPr>
        <w:pStyle w:val="ListBullet"/>
        <w:spacing w:before="20" w:after="40"/>
      </w:pPr>
      <w:r>
        <w:rPr>
          <w:rFonts w:ascii="Times New Roman" w:hAnsi="Times New Roman"/>
          <w:sz w:val="22"/>
        </w:rPr>
        <w:t>partitioning constraints in said intermediate representation into hard mathematical invariants and soft preference penalties, wherein said hard invariants are enforced as strict constraint boundaries in linear programming formulations and as penalty structures with coefficients strictly dominating objective trade-offs in unconstrained quadratic formulations;</w:t>
      </w:r>
    </w:p>
    <w:p>
      <w:pPr>
        <w:pStyle w:val="ListBullet"/>
        <w:spacing w:before="20" w:after="40"/>
      </w:pPr>
      <w:r>
        <w:rPr>
          <w:rFonts w:ascii="Times New Roman" w:hAnsi="Times New Roman"/>
          <w:sz w:val="22"/>
        </w:rPr>
        <w:t>verifying constraint safety invariants of said intermediate representation via a pre-solve invariant validator establishing that zero forbidden physical actions exist in the active variable domain and generating a tamper-evident cryptographic SHA-256 state integrity digest;</w:t>
      </w:r>
    </w:p>
    <w:p>
      <w:pPr>
        <w:pStyle w:val="ListBullet"/>
        <w:spacing w:before="20" w:after="40"/>
      </w:pPr>
      <w:r>
        <w:rPr>
          <w:rFonts w:ascii="Times New Roman" w:hAnsi="Times New Roman"/>
          <w:sz w:val="22"/>
        </w:rPr>
        <w:t>compiling said verified intermediate representation via an incident-specific formulation compiler into a mathematical decision model balancing containment effectiveness, operational downtime cost, and business impact;</w:t>
      </w:r>
    </w:p>
    <w:p>
      <w:pPr>
        <w:pStyle w:val="ListBullet"/>
        <w:spacing w:before="20" w:after="40"/>
      </w:pPr>
      <w:r>
        <w:rPr>
          <w:rFonts w:ascii="Times New Roman" w:hAnsi="Times New Roman"/>
          <w:sz w:val="22"/>
        </w:rPr>
        <w:t>solving the compiled optimization model via an interchangeable optimization engine to output an actionable binary mitigation vector $x^$; and</w:t>
      </w:r>
    </w:p>
    <w:p>
      <w:pPr>
        <w:pStyle w:val="ListBullet"/>
        <w:spacing w:before="20" w:after="40"/>
      </w:pPr>
      <w:r>
        <w:rPr>
          <w:rFonts w:ascii="Times New Roman" w:hAnsi="Times New Roman"/>
          <w:sz w:val="22"/>
        </w:rPr>
        <w:t>executing an automated security response corresponding to binary vector $x^$ modifying an access-control, network-isolation, credential, or operational control state of at least one monitored asset.</w:t>
      </w:r>
    </w:p>
    <w:p>
      <w:pPr>
        <w:spacing w:before="40" w:after="60"/>
        <w:ind w:left="360"/>
      </w:pPr>
      <w:r>
        <w:rPr>
          <w:rFonts w:ascii="Times New Roman" w:hAnsi="Times New Roman"/>
          <w:b/>
          <w:sz w:val="22"/>
        </w:rPr>
        <w:t xml:space="preserve">2. </w:t>
      </w:r>
      <w:r>
        <w:rPr>
          <w:rFonts w:ascii="Times New Roman" w:hAnsi="Times New Roman"/>
          <w:sz w:val="22"/>
        </w:rPr>
        <w:t>The method as claimed in claim 1, wherein the constraint dependency graph executes staged causal chain propagation comprising hardware capability evaluation, cascaded action pruning, downstream conflict hyperedge elimination, and operational budget bound recalculation.</w:t>
      </w:r>
    </w:p>
    <w:p>
      <w:pPr>
        <w:spacing w:before="40" w:after="60"/>
        <w:ind w:left="360"/>
      </w:pPr>
      <w:r>
        <w:rPr>
          <w:rFonts w:ascii="Times New Roman" w:hAnsi="Times New Roman"/>
          <w:b/>
          <w:sz w:val="22"/>
        </w:rPr>
        <w:t xml:space="preserve">3. </w:t>
      </w:r>
      <w:r>
        <w:rPr>
          <w:rFonts w:ascii="Times New Roman" w:hAnsi="Times New Roman"/>
          <w:sz w:val="22"/>
        </w:rPr>
        <w:t>The method as claimed in claim 1, wherein the pre-solve invariant validator deterministically evaluates seven mandatory safety invariants prior to solver compilation, comprising: forbidden action elimination, feasible domain non-emptiness, exactly-one invariance presence, conflict hyperedge consistency, budget feasibility, encoded policy-rule consistency, and provenance audit completeness.</w:t>
      </w:r>
    </w:p>
    <w:p>
      <w:pPr>
        <w:spacing w:before="40" w:after="60"/>
        <w:ind w:left="360"/>
      </w:pPr>
      <w:r>
        <w:rPr>
          <w:rFonts w:ascii="Times New Roman" w:hAnsi="Times New Roman"/>
          <w:b/>
          <w:sz w:val="22"/>
        </w:rPr>
        <w:t xml:space="preserve">4. </w:t>
      </w:r>
      <w:r>
        <w:rPr>
          <w:rFonts w:ascii="Times New Roman" w:hAnsi="Times New Roman"/>
          <w:sz w:val="22"/>
        </w:rPr>
        <w:t>The method as claimed in claim 1, wherein the formulation compiler compiles the verified intermediate representation into an interchangeable target model selected from a Quadratic Unconstrained Binary Optimization (QUBO) Hamiltonian for variational quantum algorithm execution and an Integer Linear Programming (ILP) model for classical execution, wherein forbidden actions are excised from the active decision variables of both models prior to compilation.</w:t>
      </w:r>
    </w:p>
    <w:p>
      <w:pPr>
        <w:spacing w:before="40" w:after="60"/>
        <w:ind w:left="360"/>
      </w:pPr>
      <w:r>
        <w:rPr>
          <w:rFonts w:ascii="Times New Roman" w:hAnsi="Times New Roman"/>
          <w:b/>
          <w:sz w:val="22"/>
        </w:rPr>
        <w:t xml:space="preserve">5. </w:t>
      </w:r>
      <w:r>
        <w:rPr>
          <w:rFonts w:ascii="Times New Roman" w:hAnsi="Times New Roman"/>
          <w:sz w:val="22"/>
        </w:rPr>
        <w:t>The method as claimed in claim 1, wherein the mathematical decision model exhibits two-dimensional structural topology adaptation, wherein active decision variable cardinality, conflict hyperedges, and graph density vary both across heterogeneous asset environments and across progressive operational runtime threat contexts for a given asset.</w:t>
      </w:r>
    </w:p>
    <w:p>
      <w:pPr>
        <w:spacing w:before="40" w:after="60"/>
        <w:ind w:left="360"/>
      </w:pPr>
      <w:r>
        <w:rPr>
          <w:rFonts w:ascii="Times New Roman" w:hAnsi="Times New Roman"/>
          <w:b/>
          <w:sz w:val="22"/>
        </w:rPr>
        <w:t xml:space="preserve">6. </w:t>
      </w:r>
      <w:r>
        <w:rPr>
          <w:rFonts w:ascii="Times New Roman" w:hAnsi="Times New Roman"/>
          <w:sz w:val="22"/>
        </w:rPr>
        <w:t>The method as claimed in claim 1, wherein the action switching penalty $P{\text{switch}} = \lambda{\text{switch}} \sumi \mathbb{I}(x{i,a} \neq x{i,a{\text{prev}}})$ penalizes action switching across sequential incident evaluation cycles to reduce operational decision oscillation.</w:t>
      </w:r>
    </w:p>
    <w:p>
      <w:pPr>
        <w:spacing w:before="40" w:after="60"/>
        <w:ind w:left="360"/>
      </w:pPr>
      <w:r>
        <w:rPr>
          <w:rFonts w:ascii="Times New Roman" w:hAnsi="Times New Roman"/>
          <w:b/>
          <w:sz w:val="22"/>
        </w:rPr>
        <w:t xml:space="preserve">7. </w:t>
      </w:r>
      <w:r>
        <w:rPr>
          <w:rFonts w:ascii="Times New Roman" w:hAnsi="Times New Roman"/>
          <w:sz w:val="22"/>
        </w:rPr>
        <w:t>The method as claimed in claim 1, wherein post-incident evaluation outcomes generate candidate constraint rules in an experience memory, wherein candidate rules pass through a formal validation gate preventing modification of hard safety invariants before admission into future constraint dependency graphs.</w:t>
      </w:r>
    </w:p>
    <w:p>
      <w:pPr>
        <w:spacing w:before="40" w:after="60"/>
        <w:ind w:left="360"/>
      </w:pPr>
      <w:r>
        <w:rPr>
          <w:rFonts w:ascii="Times New Roman" w:hAnsi="Times New Roman"/>
          <w:b/>
          <w:sz w:val="22"/>
        </w:rPr>
        <w:t xml:space="preserve">8. </w:t>
      </w:r>
      <w:r>
        <w:rPr>
          <w:rFonts w:ascii="Times New Roman" w:hAnsi="Times New Roman"/>
          <w:sz w:val="22"/>
        </w:rPr>
        <w:t>The method as claimed in claim 1, wherein encoded regulatory policy rules comprise system policy rules designed to encode selected technical safeguards associated with 45 CFR § 164.312(a)(1) access controls and localized edge data-minimization rules.</w:t>
      </w:r>
    </w:p>
    <w:p>
      <w:pPr>
        <w:spacing w:before="40" w:after="60"/>
        <w:ind w:left="360"/>
      </w:pPr>
      <w:r>
        <w:rPr>
          <w:rFonts w:ascii="Times New Roman" w:hAnsi="Times New Roman"/>
          <w:b/>
          <w:sz w:val="22"/>
        </w:rPr>
        <w:t xml:space="preserve">9. </w:t>
      </w:r>
      <w:r>
        <w:rPr>
          <w:rFonts w:ascii="Times New Roman" w:hAnsi="Times New Roman"/>
          <w:sz w:val="22"/>
        </w:rPr>
        <w:t>An autonomous security incident response system, comprising:</w:t>
      </w:r>
    </w:p>
    <w:p>
      <w:pPr>
        <w:pStyle w:val="ListBullet"/>
        <w:spacing w:before="20" w:after="40"/>
      </w:pPr>
      <w:r>
        <w:rPr>
          <w:rFonts w:ascii="Times New Roman" w:hAnsi="Times New Roman"/>
          <w:sz w:val="22"/>
        </w:rPr>
        <w:t>one or more telemetry ingestion interfaces configured to receive threat detection signals and operational context across monitored computing and operational assets;</w:t>
      </w:r>
    </w:p>
    <w:p>
      <w:pPr>
        <w:pStyle w:val="ListBullet"/>
        <w:spacing w:before="20" w:after="40"/>
      </w:pPr>
      <w:r>
        <w:rPr>
          <w:rFonts w:ascii="Times New Roman" w:hAnsi="Times New Roman"/>
          <w:sz w:val="22"/>
        </w:rPr>
        <w:t>a constraint dependency graph engine configured to synthesize a solver-independent Security Constraint Intermediate Representation with explicit hard and soft constraint partitioning;</w:t>
      </w:r>
    </w:p>
    <w:p>
      <w:pPr>
        <w:pStyle w:val="ListBullet"/>
        <w:spacing w:before="20" w:after="40"/>
      </w:pPr>
      <w:r>
        <w:rPr>
          <w:rFonts w:ascii="Times New Roman" w:hAnsi="Times New Roman"/>
          <w:sz w:val="22"/>
        </w:rPr>
        <w:t>a pre-solve invariant validator configured to verify constraint safety invariants and generate a cryptographic SHA-256 state integrity digest;</w:t>
      </w:r>
    </w:p>
    <w:p>
      <w:pPr>
        <w:pStyle w:val="ListBullet"/>
        <w:spacing w:before="20" w:after="40"/>
      </w:pPr>
      <w:r>
        <w:rPr>
          <w:rFonts w:ascii="Times New Roman" w:hAnsi="Times New Roman"/>
          <w:sz w:val="22"/>
        </w:rPr>
        <w:t>an incident-specific formulation compiler configured to compile the verified representation into interchangeable QUBO and ILP mathematical decision models; and</w:t>
      </w:r>
    </w:p>
    <w:p>
      <w:pPr>
        <w:pStyle w:val="ListBullet"/>
        <w:spacing w:before="20" w:after="40"/>
      </w:pPr>
      <w:r>
        <w:rPr>
          <w:rFonts w:ascii="Times New Roman" w:hAnsi="Times New Roman"/>
          <w:sz w:val="22"/>
        </w:rPr>
        <w:t>an execution engine configured to execute an optimal mitigation response plan modifying an access-control, network-isolation, or infrastructure control state of at least one monitored asset.</w:t>
      </w:r>
    </w:p>
    <w:p>
      <w:pPr>
        <w:spacing w:before="40" w:after="60"/>
        <w:ind w:left="360"/>
      </w:pPr>
      <w:r>
        <w:rPr>
          <w:rFonts w:ascii="Times New Roman" w:hAnsi="Times New Roman"/>
          <w:b/>
          <w:sz w:val="22"/>
        </w:rPr>
        <w:t xml:space="preserve">10. </w:t>
      </w:r>
      <w:r>
        <w:rPr>
          <w:rFonts w:ascii="Times New Roman" w:hAnsi="Times New Roman"/>
          <w:sz w:val="22"/>
        </w:rPr>
        <w:t>A non-transitory computer-readable medium storing instructions that, when executed by one or more processors, cause the processors to perform the method as claimed in claim 1.</w:t>
      </w:r>
    </w:p>
    <w:p>
      <w:pPr>
        <w:keepNext/>
        <w:spacing w:before="280" w:after="120"/>
      </w:pPr>
      <w:r>
        <w:rPr>
          <w:rFonts w:ascii="Times New Roman" w:hAnsi="Times New Roman"/>
          <w:b/>
          <w:color w:val="1E3A8A"/>
          <w:sz w:val="27"/>
        </w:rPr>
        <w:t>10. ABSTRACT OF THE INVENTION</w:t>
      </w:r>
    </w:p>
    <w:p>
      <w:pPr>
        <w:spacing w:before="40" w:after="80" w:line="300" w:lineRule="auto"/>
      </w:pPr>
      <w:r>
        <w:rPr>
          <w:rFonts w:ascii="Times New Roman" w:hAnsi="Times New Roman"/>
          <w:sz w:val="22"/>
        </w:rPr>
        <w:t>ABSTRACT</w:t>
      </w:r>
    </w:p>
    <w:p>
      <w:pPr>
        <w:spacing w:before="40" w:after="80" w:line="300" w:lineRule="auto"/>
      </w:pPr>
      <w:r>
        <w:rPr>
          <w:rFonts w:ascii="Times New Roman" w:hAnsi="Times New Roman"/>
          <w:sz w:val="22"/>
        </w:rPr>
        <w:t>A system, computer-implemented method, and non-transitory computer-readable medium for real-time multi-objective security response optimization across heterogeneous cloud, edge, and cyber-physical infrastructure. Calibrated threat detection signals from localized neural network edge detectors and multi-factor asset context are processed by a constraint dependency graph to synthesize a solver-independent Security Constraint Intermediate Representation (SC-IR) with explicit hard and soft constraint partitioning. The intermediate representation is verified against seven deterministic safety invariants by a pre-solve invariant validator, which generates a tamper-evident SHA-256 cryptographic state integrity digest ensuring zero forbidden physical actions exist in the decision space. A formulation compiler compiles the verified IR into incident-specific mathematical optimization formulations (such as QUBO Hamiltonians for QAOA circuits or ILP models for classical solvers). An interchangeable solver solves the formulation to output an optimal binary response plan that is automatically executed across infrastructure controls. Closed-loop experience memory admits validated candidate constraint rules into future dependency graphs while strictly preserving hard safety invariants.</w:t>
      </w:r>
    </w:p>
    <w:p>
      <w:pPr>
        <w:spacing w:before="40" w:after="80" w:line="300" w:lineRule="auto"/>
      </w:pPr>
      <w:r>
        <w:rPr>
          <w:rFonts w:ascii="Times New Roman" w:hAnsi="Times New Roman"/>
          <w:sz w:val="22"/>
        </w:rPr>
        <w:t>Dated this 6th day of September, 2026</w:t>
      </w:r>
    </w:p>
    <w:p>
      <w:pPr>
        <w:spacing w:before="40" w:after="80" w:line="300" w:lineRule="auto"/>
      </w:pPr>
      <w:r>
        <w:rPr>
          <w:rFonts w:ascii="Times New Roman" w:hAnsi="Times New Roman"/>
          <w:sz w:val="22"/>
        </w:rPr>
        <w:t>(Signature of Applicant / Authorized Patent Agent)</w:t>
      </w:r>
    </w:p>
    <w:p>
      <w:pPr>
        <w:spacing w:before="40" w:after="80" w:line="300" w:lineRule="auto"/>
      </w:pPr>
      <w:r>
        <w:rPr>
          <w:rFonts w:ascii="Times New Roman" w:hAnsi="Times New Roman"/>
          <w:sz w:val="22"/>
        </w:rPr>
        <w:t>Naveen Ravi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