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00" w:lineRule="auto"/>
        <w:jc w:val="center"/>
      </w:pPr>
      <w:r>
        <w:rPr>
          <w:rFonts w:ascii="Arial" w:hAnsi="Arial"/>
          <w:b/>
          <w:i w:val="0"/>
          <w:color w:val="000000"/>
          <w:sz w:val="30"/>
        </w:rPr>
        <w:t>PROBLEM AND PROJECT-BASED LEARNING REPORT</w:t>
      </w:r>
    </w:p>
    <w:p>
      <w:pPr>
        <w:spacing w:before="40" w:after="200" w:line="300" w:lineRule="auto"/>
        <w:jc w:val="center"/>
      </w:pPr>
      <w:r>
        <w:rPr>
          <w:rFonts w:ascii="Arial" w:hAnsi="Arial"/>
          <w:b/>
          <w:i w:val="0"/>
          <w:color w:val="000000"/>
          <w:sz w:val="26"/>
        </w:rPr>
        <w:t>entitled</w:t>
      </w:r>
    </w:p>
    <w:p>
      <w:pPr>
        <w:spacing w:before="80" w:after="280" w:line="288" w:lineRule="auto"/>
        <w:jc w:val="center"/>
      </w:pPr>
      <w:r>
        <w:rPr>
          <w:rFonts w:ascii="Arial" w:hAnsi="Arial"/>
          <w:b/>
          <w:i w:val="0"/>
          <w:color w:val="000000"/>
          <w:sz w:val="26"/>
        </w:rPr>
        <w:t>PHYSICS-INFORMED SPATIO-TEMPORAL GRAPH TRANSFORMER FOR MULTI-INSTRUMENT SOLAR FLARE FORECASTING USING ADITYA-L1 TELEMETRY</w:t>
      </w:r>
    </w:p>
    <w:p>
      <w:pPr>
        <w:spacing w:before="40" w:after="240" w:line="288" w:lineRule="auto"/>
        <w:jc w:val="center"/>
      </w:pPr>
      <w:r>
        <w:rPr>
          <w:rFonts w:ascii="Arial" w:hAnsi="Arial"/>
          <w:b w:val="0"/>
          <w:i w:val="0"/>
          <w:color w:val="000000"/>
          <w:sz w:val="22"/>
        </w:rPr>
        <w:t>Submitted in partial fulfillment of the requirements for the award of Bachelor of Technology degree in Artificial Intelligence and Machine Learning.</w:t>
      </w:r>
    </w:p>
    <w:p>
      <w:pPr>
        <w:spacing w:before="40" w:after="40" w:line="300" w:lineRule="auto"/>
        <w:jc w:val="center"/>
      </w:pPr>
      <w:r>
        <w:rPr>
          <w:rFonts w:ascii="Arial" w:hAnsi="Arial"/>
          <w:b w:val="0"/>
          <w:i w:val="0"/>
          <w:color w:val="000000"/>
          <w:sz w:val="22"/>
        </w:rPr>
        <w:t>By</w:t>
      </w:r>
    </w:p>
    <w:p>
      <w:pPr>
        <w:spacing w:before="40" w:after="280" w:line="300" w:lineRule="auto"/>
        <w:jc w:val="center"/>
      </w:pPr>
      <w:r>
        <w:rPr>
          <w:rFonts w:ascii="Arial" w:hAnsi="Arial"/>
          <w:b/>
          <w:i w:val="0"/>
          <w:color w:val="000000"/>
          <w:sz w:val="24"/>
        </w:rPr>
        <w:t>NAVEENKUMAR S</w:t>
      </w:r>
    </w:p>
    <w:p>
      <w:pPr>
        <w:spacing w:before="80" w:after="280"/>
        <w:jc w:val="center"/>
      </w:pPr>
      <w:r>
        <w:drawing>
          <wp:inline xmlns:a="http://schemas.openxmlformats.org/drawingml/2006/main" xmlns:pic="http://schemas.openxmlformats.org/drawingml/2006/picture">
            <wp:extent cx="1143000" cy="323216"/>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143000" cy="323216"/>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160" w:line="300" w:lineRule="auto"/>
        <w:jc w:val="center"/>
      </w:pPr>
      <w:r>
        <w:rPr>
          <w:rFonts w:ascii="Arial" w:hAnsi="Arial"/>
          <w:b/>
          <w:i w:val="0"/>
          <w:color w:val="000000"/>
          <w:sz w:val="26"/>
        </w:rPr>
        <w:t>SCHOOL OF COMPUTING</w:t>
      </w:r>
    </w:p>
    <w:p>
      <w:pPr>
        <w:spacing w:before="80" w:after="40" w:line="300" w:lineRule="auto"/>
        <w:jc w:val="center"/>
      </w:pPr>
      <w:r>
        <w:rPr>
          <w:rFonts w:ascii="Arial" w:hAnsi="Arial"/>
          <w:b/>
          <w:i w:val="0"/>
          <w:color w:val="000000"/>
          <w:sz w:val="48"/>
        </w:rPr>
        <w:t>SATHYABAMA</w:t>
      </w:r>
    </w:p>
    <w:p>
      <w:pPr>
        <w:spacing w:before="40" w:after="40" w:line="300" w:lineRule="auto"/>
        <w:jc w:val="center"/>
      </w:pPr>
      <w:r>
        <w:rPr>
          <w:rFonts w:ascii="Arial" w:hAnsi="Arial"/>
          <w:b/>
          <w:i w:val="0"/>
          <w:color w:val="000000"/>
          <w:sz w:val="21"/>
        </w:rPr>
        <w:t>INSTITUTE OF SCIENCE AND TECHNOLOGY (DEEMED TO BE UNIVERSITY)</w:t>
      </w:r>
    </w:p>
    <w:p>
      <w:pPr>
        <w:spacing w:before="40" w:after="40" w:line="300" w:lineRule="auto"/>
        <w:jc w:val="center"/>
      </w:pPr>
      <w:r>
        <w:rPr>
          <w:rFonts w:ascii="Arial" w:hAnsi="Arial"/>
          <w:b/>
          <w:i w:val="0"/>
          <w:color w:val="000000"/>
          <w:sz w:val="21"/>
        </w:rPr>
        <w:t>CATEGORY - 1 UNIVERSITY BY UGC</w:t>
      </w:r>
    </w:p>
    <w:p>
      <w:pPr>
        <w:spacing w:before="40" w:after="160" w:line="276" w:lineRule="auto"/>
        <w:jc w:val="center"/>
      </w:pPr>
      <w:r>
        <w:rPr>
          <w:rFonts w:ascii="Arial" w:hAnsi="Arial"/>
          <w:b/>
          <w:i w:val="0"/>
          <w:color w:val="000000"/>
          <w:sz w:val="19"/>
        </w:rPr>
        <w:t>Accredited "A++" by NAAC | Approved by AICTE</w:t>
        <w:br/>
        <w:t>JEPPIAAR NAGAR, RAJIV GANDHI SALAI, CHENNAI - 600119</w:t>
      </w:r>
    </w:p>
    <w:p>
      <w:pPr>
        <w:spacing w:before="120" w:after="0" w:line="300" w:lineRule="auto"/>
        <w:jc w:val="center"/>
      </w:pPr>
      <w:r>
        <w:rPr>
          <w:rFonts w:ascii="Arial" w:hAnsi="Arial"/>
          <w:b/>
          <w:i w:val="0"/>
          <w:color w:val="000000"/>
          <w:sz w:val="23"/>
        </w:rPr>
        <w:t>October 2026</w:t>
      </w:r>
    </w:p>
    <w:p>
      <w:r>
        <w:br w:type="page"/>
      </w:r>
    </w:p>
    <w:p>
      <w:pPr>
        <w:spacing w:before="200" w:after="240" w:line="300" w:lineRule="auto"/>
        <w:jc w:val="center"/>
      </w:pPr>
      <w:r>
        <w:rPr>
          <w:rFonts w:ascii="Arial" w:hAnsi="Arial"/>
          <w:b/>
          <w:i w:val="0"/>
          <w:color w:val="000000"/>
          <w:sz w:val="24"/>
        </w:rPr>
        <w:t>DEPARTMENT OF COMPUTER SCIENCE AND ENGINEERING</w:t>
      </w:r>
    </w:p>
    <w:p>
      <w:pPr>
        <w:spacing w:before="80" w:after="400" w:line="300" w:lineRule="auto"/>
        <w:jc w:val="center"/>
      </w:pPr>
      <w:r>
        <w:rPr>
          <w:rFonts w:ascii="Arial" w:hAnsi="Arial"/>
          <w:b/>
          <w:i w:val="0"/>
          <w:color w:val="000000"/>
          <w:sz w:val="27"/>
        </w:rPr>
        <w:t>BONAFIDE CERTIFICATE</w:t>
      </w:r>
    </w:p>
    <w:p>
      <w:pPr>
        <w:spacing w:before="80" w:after="720" w:line="324" w:lineRule="auto"/>
        <w:jc w:val="both"/>
      </w:pPr>
      <w:r>
        <w:rPr>
          <w:rFonts w:ascii="Arial" w:hAnsi="Arial"/>
          <w:b w:val="0"/>
          <w:i w:val="0"/>
          <w:color w:val="000000"/>
          <w:sz w:val="22"/>
        </w:rPr>
        <w:t>This is to certify that this Project Report is the bonafide work of NAVEENKUMAR S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960" w:after="64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200" w:after="400" w:line="300" w:lineRule="auto"/>
        <w:jc w:val="center"/>
      </w:pPr>
      <w:r>
        <w:rPr>
          <w:rFonts w:ascii="Arial" w:hAnsi="Arial"/>
          <w:b/>
          <w:i w:val="0"/>
          <w:color w:val="000000"/>
          <w:sz w:val="27"/>
        </w:rPr>
        <w:t>DECLARATION</w:t>
      </w:r>
    </w:p>
    <w:p>
      <w:pPr>
        <w:spacing w:before="80" w:after="320" w:line="324" w:lineRule="auto"/>
        <w:jc w:val="both"/>
      </w:pPr>
      <w:r>
        <w:rPr>
          <w:rFonts w:ascii="Arial" w:hAnsi="Arial"/>
          <w:b w:val="0"/>
          <w:i w:val="0"/>
          <w:color w:val="000000"/>
          <w:sz w:val="22"/>
        </w:rPr>
        <w:t>I, NAVEENKUMAR S, hereby declare that the Project Report entitled "PHYSICS-INFORMED SPATIO-TEMPORAL GRAPH TRANSFORMER FOR MULTI-INSTRUMENT SOLAR FLARE FORECASTING USING ADITYA-L1 TELEMETRY" done by me under the guidance of Ms. K. Bavani., M.E, is submitted in partial fulfilment of the requirements for the award of Bachelor of Technology degree in Artificial Intelligence and Machine Learning.</w:t>
      </w:r>
    </w:p>
    <w:p>
      <w:pPr>
        <w:spacing w:before="80" w:after="960" w:line="324" w:lineRule="auto"/>
        <w:jc w:val="both"/>
      </w:pPr>
      <w:r>
        <w:rPr>
          <w:rFonts w:ascii="Arial" w:hAnsi="Arial"/>
          <w:b w:val="0"/>
          <w:i w:val="0"/>
          <w:color w:val="000000"/>
          <w:sz w:val="22"/>
        </w:rPr>
        <w:t>I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4608"/>
        <w:gridCol w:w="4320"/>
      </w:tblGrid>
      <w:tr>
        <w:trPr>
          <w:cantSplit/>
        </w:trPr>
        <w:tc>
          <w:tcPr>
            <w:tcW w:type="dxa" w:w="4500"/>
          </w:tcPr>
          <w:p>
            <w:pPr>
              <w:spacing w:line="300" w:lineRule="auto"/>
            </w:pPr>
            <w:r>
              <w:rPr>
                <w:b/>
              </w:rPr>
              <w:t>DATE: 30-10-2026</w:t>
              <w:br/>
              <w:t>PLACE: Chennai</w:t>
            </w:r>
          </w:p>
        </w:tc>
        <w:tc>
          <w:tcPr>
            <w:tcW w:type="dxa" w:w="4500"/>
          </w:tcPr>
          <w:p>
            <w:pPr>
              <w:spacing w:line="300" w:lineRule="auto"/>
              <w:jc w:val="right"/>
            </w:pPr>
            <w:r>
              <w:rPr>
                <w:b/>
              </w:rPr>
              <w:t>NAVEENKUMAR S</w:t>
              <w:br/>
              <w:t>Signature of the Candidate</w:t>
            </w:r>
          </w:p>
        </w:tc>
      </w:tr>
    </w:tbl>
    <w:p>
      <w:r>
        <w:br w:type="page"/>
      </w:r>
    </w:p>
    <w:p>
      <w:pPr>
        <w:spacing w:before="200" w:after="360" w:line="300" w:lineRule="auto"/>
        <w:jc w:val="center"/>
      </w:pPr>
      <w:r>
        <w:rPr>
          <w:rFonts w:ascii="Arial" w:hAnsi="Arial"/>
          <w:b/>
          <w:i w:val="0"/>
          <w:color w:val="000000"/>
          <w:sz w:val="27"/>
        </w:rPr>
        <w:t>ACKNOWLEDGEMENT</w:t>
      </w:r>
    </w:p>
    <w:p>
      <w:pPr>
        <w:spacing w:before="80" w:after="200" w:line="300" w:lineRule="auto"/>
        <w:jc w:val="both"/>
      </w:pPr>
      <w:r>
        <w:rPr>
          <w:rFonts w:ascii="Arial" w:hAnsi="Arial"/>
          <w:b w:val="0"/>
          <w:i w:val="0"/>
          <w:color w:val="000000"/>
          <w:sz w:val="22"/>
        </w:rPr>
        <w:t>I am pleased to acknowledge my sincere thanks to Board of Management of SATHYABAMA for their kind encouragement in doing this project and for completing it successfully. I am grateful to them.</w:t>
      </w:r>
    </w:p>
    <w:p>
      <w:pPr>
        <w:spacing w:before="80" w:after="200" w:line="300" w:lineRule="auto"/>
        <w:jc w:val="both"/>
      </w:pPr>
      <w:r>
        <w:rPr>
          <w:rFonts w:ascii="Arial" w:hAnsi="Arial"/>
          <w:b w:val="0"/>
          <w:i w:val="0"/>
          <w:color w:val="000000"/>
          <w:sz w:val="22"/>
        </w:rPr>
        <w:t>I convey my thanks to Dr. L. Lakshmanan M.E., Ph.D., Dean, School of Computing, Dr. Senduru Srinivasulu, M.E., Ph.D., Head of the Department of Computer Science and Engineering for providing me necessary support during the progressive reviews.</w:t>
      </w:r>
    </w:p>
    <w:p>
      <w:pPr>
        <w:spacing w:before="80" w:after="200" w:line="300" w:lineRule="auto"/>
        <w:jc w:val="both"/>
      </w:pPr>
      <w:r>
        <w:rPr>
          <w:rFonts w:ascii="Arial" w:hAnsi="Arial"/>
          <w:b w:val="0"/>
          <w:i w:val="0"/>
          <w:color w:val="000000"/>
          <w:sz w:val="22"/>
        </w:rPr>
        <w:t>I would like to express my sincere and deep sense of gratitude to my Internal Guide Ms. K. Bavani., M.E. for her valuable guidance, suggestions and constant encouragement which paved way for the successful completion of my Problem and Project - Based Learning.</w:t>
      </w:r>
    </w:p>
    <w:p>
      <w:pPr>
        <w:spacing w:before="80" w:after="200" w:line="300" w:lineRule="auto"/>
        <w:jc w:val="both"/>
      </w:pPr>
      <w:r>
        <w:rPr>
          <w:rFonts w:ascii="Arial" w:hAnsi="Arial"/>
          <w:b w:val="0"/>
          <w:i w:val="0"/>
          <w:color w:val="000000"/>
          <w:sz w:val="22"/>
        </w:rPr>
        <w:t>I wish to express my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560" w:line="300" w:lineRule="auto"/>
        <w:jc w:val="both"/>
      </w:pPr>
      <w:r>
        <w:rPr>
          <w:rFonts w:ascii="Arial" w:hAnsi="Arial"/>
          <w:b w:val="0"/>
          <w:i w:val="0"/>
          <w:color w:val="000000"/>
          <w:sz w:val="22"/>
        </w:rPr>
        <w:t>I also thank the Indian Space Science Data Centre (ISSDC/ISRO) and the URSC payload teams for making the Aditya-L1 Level-2 science telemetry publicly accessible via the PRADAN portal. Finally, I extend my warmest appreciation to my parents, family, and peers for their unconditional support and encouragement.</w:t>
      </w:r>
    </w:p>
    <w:p>
      <w:pPr>
        <w:spacing w:before="160"/>
        <w:jc w:val="right"/>
      </w:pPr>
      <w:r>
        <w:rPr>
          <w:rFonts w:ascii="Arial" w:hAnsi="Arial"/>
          <w:b/>
          <w:sz w:val="22"/>
        </w:rPr>
        <w:t>NAVEENKUMAR S</w:t>
        <w:br/>
        <w:t>Candidate</w:t>
      </w:r>
    </w:p>
    <w:p>
      <w:r>
        <w:br w:type="page"/>
      </w:r>
    </w:p>
    <w:p>
      <w:pPr>
        <w:spacing w:before="200" w:after="320" w:line="300" w:lineRule="auto"/>
        <w:jc w:val="center"/>
      </w:pPr>
      <w:r>
        <w:rPr>
          <w:rFonts w:ascii="Arial" w:hAnsi="Arial"/>
          <w:b/>
          <w:i w:val="0"/>
          <w:color w:val="000000"/>
          <w:sz w:val="32"/>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posing severe hazards to Earth-orbiting satellites, global navigation satellite systems (GNSS), civil aviation, and ground power grids. However, operational solar flare forecasting faces two severe machine learning challenges: extreme rare-event class imbalance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b/>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b/>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b/>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PROJECT</w:t>
            </w:r>
          </w:p>
        </w:tc>
        <w:tc>
          <w:tcPr>
            <w:tcW w:type="dxa" w:w="3000"/>
            <w:tcMar>
              <w:top w:w="16" w:type="dxa"/>
              <w:bottom w:w="16" w:type="dxa"/>
              <w:left w:w="40" w:type="dxa"/>
              <w:right w:w="40" w:type="dxa"/>
            </w:tcMar>
          </w:tcPr>
          <w:p>
            <w:pPr>
              <w:spacing w:before="40" w:after="40" w:line="240" w:lineRule="auto"/>
              <w:jc w:val="right"/>
            </w:pPr>
            <w:r>
              <w:rPr>
                <w:b/>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b/>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b/>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A. RESEARCH PAPER / MODEL CHART</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B. PLAGIARISM REPORT</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sz w:val="18"/>
              </w:rPr>
            </w:r>
          </w:p>
        </w:tc>
        <w:tc>
          <w:tcPr>
            <w:tcW w:type="dxa" w:w="3000"/>
            <w:tcMar>
              <w:top w:w="16" w:type="dxa"/>
              <w:bottom w:w="16" w:type="dxa"/>
              <w:left w:w="40" w:type="dxa"/>
              <w:right w:w="40" w:type="dxa"/>
            </w:tcMar>
          </w:tcPr>
          <w:p>
            <w:pPr>
              <w:spacing w:before="40" w:after="40" w:line="240" w:lineRule="auto"/>
              <w:jc w:val="left"/>
            </w:pPr>
            <w:r>
              <w:rPr>
                <w:b/>
                <w:sz w:val="18"/>
              </w:rPr>
              <w:t>C. CODE</w:t>
            </w:r>
          </w:p>
        </w:tc>
        <w:tc>
          <w:tcPr>
            <w:tcW w:type="dxa" w:w="3000"/>
            <w:tcMar>
              <w:top w:w="16" w:type="dxa"/>
              <w:bottom w:w="16" w:type="dxa"/>
              <w:left w:w="40" w:type="dxa"/>
              <w:right w:w="40" w:type="dxa"/>
            </w:tcMar>
          </w:tcPr>
          <w:p>
            <w:pPr>
              <w:spacing w:before="40" w:after="40" w:line="240" w:lineRule="auto"/>
              <w:jc w:val="right"/>
            </w:pPr>
            <w:r>
              <w:rPr>
                <w:sz w:val="18"/>
              </w:rPr>
              <w:t>25</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Architecture and Neupert PINN Multi-Task Learning Pipeline</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24</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200" w:after="80"/>
        <w:jc w:val="center"/>
      </w:pPr>
      <w:r>
        <w:drawing>
          <wp:inline xmlns:a="http://schemas.openxmlformats.org/drawingml/2006/main" xmlns:pic="http://schemas.openxmlformats.org/drawingml/2006/picture">
            <wp:extent cx="5029200" cy="2012655"/>
            <wp:docPr id="2" name="Picture 2"/>
            <wp:cNvGraphicFramePr>
              <a:graphicFrameLocks noChangeAspect="1"/>
            </wp:cNvGraphicFramePr>
            <a:graphic>
              <a:graphicData uri="http://schemas.openxmlformats.org/drawingml/2006/picture">
                <pic:pic>
                  <pic:nvPicPr>
                    <pic:cNvPr id="0" name="figure1_orbit_and_sensors.png"/>
                    <pic:cNvPicPr/>
                  </pic:nvPicPr>
                  <pic:blipFill>
                    <a:blip r:embed="rId10"/>
                    <a:stretch>
                      <a:fillRect/>
                    </a:stretch>
                  </pic:blipFill>
                  <pic:spPr>
                    <a:xfrm>
                      <a:off x="0" y="0"/>
                      <a:ext cx="5029200" cy="2012655"/>
                    </a:xfrm>
                    <a:prstGeom prst="rect"/>
                  </pic:spPr>
                </pic:pic>
              </a:graphicData>
            </a:graphic>
          </wp:inline>
        </w:drawing>
      </w:r>
    </w:p>
    <w:p>
      <w:pPr>
        <w:spacing w:before="40" w:after="20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algorithms have been applied to solar flare forecasting. Classical models like Support Vector Machines (SVM), Random Forests (RF), and XGBoost (Bobra &amp; Couvidat, 2015) rely on hand-crafted photospheric magnetic field features extracted from SDO/HMI. While computationally fast, these tabular models discard temporal sequencing and fail to capture impulsive non-linear precursor dynamics. More recent deep learning architectures such as Long Short-Term Memory networks (LSTM) and Temporal Convolutional Networks (TCN) capture sequential patterns but treat multi-sensor spectral channels as independent, flat tabular vectors, missing the physical energy transfer mechanisms across the electromagnetic spectrum (Camporeale, 2025).</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Introduced by Raissi, Perdikaris, and Karniadakis (2019), Physics-Informed Neural Networks (PINNs) seamlessly bridge machine learning and physical laws by augmenting empirical training objectives with differential equation residuals. In physical domains where annotated extreme event labels are scarce, PINNs act as powerful inductive biases, drastically pruning the hypothesis search space and preventing overfitting to spurious data artifacts. Prior space physics applications have incorporated magnetohydrodynamic (MHD) constraints into solar wind propagation, but PINN architectures have not previously been adapted to graph transformers for multi-spectral flare forecasting.</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Standard deep neural networks are notoriously overconfident and poorly calibrated under severe distribution shifts. Conformal prediction (Vovk et al., 2005) provides a rigorous mathematical framework for uncertainty quantification, converting heuristic point predictions into finite-sample valid prediction sets guaranteeing exact coverage (1 - epsilon) without parametric assumptions. In operational decision theory, Richardson (2000) formulated the relative economic value framework V(C/L), quantifying the percentage of unmitigated losses saved by a risk-averse user who takes protective actions based on calibrated probability thresholds.</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Spectral Disconnection</w:t>
      </w:r>
      <w:r>
        <w:rPr>
          <w:rFonts w:ascii="Arial" w:hAnsi="Arial"/>
          <w:sz w:val="22"/>
        </w:rPr>
        <w:t>: Existing ML models treat multi-band X-ray data as uncoupled time-series, ignoring cross-sensor physical coupling.</w:t>
      </w:r>
    </w:p>
    <w:p>
      <w:pPr>
        <w:spacing w:before="0" w:after="80" w:line="276" w:lineRule="auto"/>
        <w:ind w:left="360"/>
      </w:pPr>
      <w:r>
        <w:rPr>
          <w:rFonts w:ascii="Arial" w:hAnsi="Arial"/>
          <w:b/>
          <w:sz w:val="22"/>
        </w:rPr>
        <w:t xml:space="preserve">* </w:t>
      </w:r>
      <w:r>
        <w:rPr>
          <w:rFonts w:ascii="Arial" w:hAnsi="Arial"/>
          <w:b/>
          <w:sz w:val="22"/>
        </w:rPr>
        <w:t>Absence of Physics Inductive Bias</w:t>
      </w:r>
      <w:r>
        <w:rPr>
          <w:rFonts w:ascii="Arial" w:hAnsi="Arial"/>
          <w:sz w:val="22"/>
        </w:rPr>
        <w:t>: State-of-the-art models operate as unconstrained black boxes, violating energy conservation.</w:t>
      </w:r>
    </w:p>
    <w:p>
      <w:pPr>
        <w:spacing w:before="0" w:after="80" w:line="276" w:lineRule="auto"/>
        <w:ind w:left="360"/>
      </w:pPr>
      <w:r>
        <w:rPr>
          <w:rFonts w:ascii="Arial" w:hAnsi="Arial"/>
          <w:b/>
          <w:sz w:val="22"/>
        </w:rPr>
        <w:t xml:space="preserve">* </w:t>
      </w:r>
      <w:r>
        <w:rPr>
          <w:rFonts w:ascii="Arial" w:hAnsi="Arial"/>
          <w:b/>
          <w:sz w:val="22"/>
        </w:rPr>
        <w:t>Uncalibrated Confidence</w:t>
      </w:r>
      <w:r>
        <w:rPr>
          <w:rFonts w:ascii="Arial" w:hAnsi="Arial"/>
          <w:sz w:val="22"/>
        </w:rPr>
        <w:t>: Prior models output raw softmax scores that cannot provide mathematical guarantees required by critical space infrastructure.</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 Ubuntu 22.04 LTS.</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NVIDIA RTX 4080 (16 GB VRAM), 64 GB DDR5 System RAM, Intel Core i9-13900K.</w:t>
      </w:r>
    </w:p>
    <w:p>
      <w:pPr>
        <w:spacing w:before="0" w:after="80" w:line="276" w:lineRule="auto"/>
        <w:ind w:left="360"/>
      </w:pPr>
      <w:r>
        <w:rPr>
          <w:rFonts w:ascii="Arial" w:hAnsi="Arial"/>
          <w:b/>
          <w:sz w:val="22"/>
        </w:rPr>
        <w:t xml:space="preserve">* </w:t>
      </w:r>
      <w:r>
        <w:rPr>
          <w:rFonts w:ascii="Arial" w:hAnsi="Arial"/>
          <w:b/>
          <w:sz w:val="22"/>
        </w:rPr>
        <w:t>Deep Learning Stack</w:t>
      </w:r>
      <w:r>
        <w:rPr>
          <w:rFonts w:ascii="Arial" w:hAnsi="Arial"/>
          <w:sz w:val="22"/>
        </w:rPr>
        <w:t>: PyTorch 2.4.0, PyTorch Geometric 2.5.0, CUDA 12.4, cuDNN 9.1.</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data ingestion pipeline acquires calibrated Level-2 science telemetry directly from the ISRO Indian Space Science Data Centre (ISSDC) PRADAN repository. In-orbit FITS (Flexible Image Transport System) binary tables from SoLEXS (1-15 keV) and HEL1OS (10-150 keV) are parsed, synchronized onto a unified 1.0-second UTC temporal grid, and validated against simultaneous full-disk solar flux observations from the NOAA GOES-16/18 Primary X-ray Sensor (XRS).</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To prevent observational artifacts from corrupting machine learning training, seven deterministic quality assurance gates are enforced:</w:t>
      </w:r>
    </w:p>
    <w:p>
      <w:pPr>
        <w:spacing w:before="0" w:after="80" w:line="276" w:lineRule="auto"/>
        <w:ind w:left="360"/>
      </w:pPr>
      <w:r>
        <w:rPr>
          <w:rFonts w:ascii="Arial" w:hAnsi="Arial"/>
          <w:b/>
          <w:sz w:val="22"/>
        </w:rPr>
        <w:t xml:space="preserve">* </w:t>
      </w:r>
      <w:r>
        <w:rPr>
          <w:rFonts w:ascii="Arial" w:hAnsi="Arial"/>
          <w:b/>
          <w:sz w:val="22"/>
        </w:rPr>
        <w:t>Gate F5.1 (Cadence Validation)</w:t>
      </w:r>
      <w:r>
        <w:rPr>
          <w:rFonts w:ascii="Arial" w:hAnsi="Arial"/>
          <w:sz w:val="22"/>
        </w:rPr>
        <w:t>: Rejects telemetry segments where sampling intervals deviate from 1.0s +/- 0.05s.</w:t>
      </w:r>
    </w:p>
    <w:p>
      <w:pPr>
        <w:spacing w:before="0" w:after="80" w:line="276" w:lineRule="auto"/>
        <w:ind w:left="360"/>
      </w:pPr>
      <w:r>
        <w:rPr>
          <w:rFonts w:ascii="Arial" w:hAnsi="Arial"/>
          <w:b/>
          <w:sz w:val="22"/>
        </w:rPr>
        <w:t xml:space="preserve">* </w:t>
      </w:r>
      <w:r>
        <w:rPr>
          <w:rFonts w:ascii="Arial" w:hAnsi="Arial"/>
          <w:b/>
          <w:sz w:val="22"/>
        </w:rPr>
        <w:t>Gate F5.2 (Detector Non-Linearity)</w:t>
      </w:r>
      <w:r>
        <w:rPr>
          <w:rFonts w:ascii="Arial" w:hAnsi="Arial"/>
          <w:sz w:val="22"/>
        </w:rPr>
        <w:t>: Applies dead-time correction when count rates exceed 80,000 counts/sec on SDD sensors.</w:t>
      </w:r>
    </w:p>
    <w:p>
      <w:pPr>
        <w:spacing w:before="0" w:after="80" w:line="276" w:lineRule="auto"/>
        <w:ind w:left="360"/>
      </w:pPr>
      <w:r>
        <w:rPr>
          <w:rFonts w:ascii="Arial" w:hAnsi="Arial"/>
          <w:b/>
          <w:sz w:val="22"/>
        </w:rPr>
        <w:t xml:space="preserve">* </w:t>
      </w:r>
      <w:r>
        <w:rPr>
          <w:rFonts w:ascii="Arial" w:hAnsi="Arial"/>
          <w:b/>
          <w:sz w:val="22"/>
        </w:rPr>
        <w:t>Gate F5.3 (Particle Saturation)</w:t>
      </w:r>
      <w:r>
        <w:rPr>
          <w:rFonts w:ascii="Arial" w:hAnsi="Arial"/>
          <w:sz w:val="22"/>
        </w:rPr>
        <w:t>: Filters telemetry corrupted by high-energy charged particles penetrating detector shielding.</w:t>
      </w:r>
    </w:p>
    <w:p>
      <w:pPr>
        <w:spacing w:before="0" w:after="80" w:line="276" w:lineRule="auto"/>
        <w:ind w:left="360"/>
      </w:pPr>
      <w:r>
        <w:rPr>
          <w:rFonts w:ascii="Arial" w:hAnsi="Arial"/>
          <w:b/>
          <w:sz w:val="22"/>
        </w:rPr>
        <w:t xml:space="preserve">* </w:t>
      </w:r>
      <w:r>
        <w:rPr>
          <w:rFonts w:ascii="Arial" w:hAnsi="Arial"/>
          <w:b/>
          <w:sz w:val="22"/>
        </w:rPr>
        <w:t>Gate F5.4 (Zero-Inflation Refusal)</w:t>
      </w:r>
      <w:r>
        <w:rPr>
          <w:rFonts w:ascii="Arial" w:hAnsi="Arial"/>
          <w:sz w:val="22"/>
        </w:rPr>
        <w:t>: Rejects fitting windows where off-source zero samples exceed 90%, preventing fake artificial correlations.</w:t>
      </w:r>
    </w:p>
    <w:p>
      <w:pPr>
        <w:spacing w:before="0" w:after="80" w:line="276" w:lineRule="auto"/>
        <w:ind w:left="360"/>
      </w:pPr>
      <w:r>
        <w:rPr>
          <w:rFonts w:ascii="Arial" w:hAnsi="Arial"/>
          <w:b/>
          <w:sz w:val="22"/>
        </w:rPr>
        <w:t xml:space="preserve">* </w:t>
      </w:r>
      <w:r>
        <w:rPr>
          <w:rFonts w:ascii="Arial" w:hAnsi="Arial"/>
          <w:b/>
          <w:sz w:val="22"/>
        </w:rPr>
        <w:t>Gate F5.5 (Finite Interpolation)</w:t>
      </w:r>
      <w:r>
        <w:rPr>
          <w:rFonts w:ascii="Arial" w:hAnsi="Arial"/>
          <w:sz w:val="22"/>
        </w:rPr>
        <w:t>: Enforces linear interpolation strictly over finite samples with verified non-zero bounds.</w:t>
      </w:r>
    </w:p>
    <w:p>
      <w:pPr>
        <w:spacing w:before="0" w:after="80" w:line="276" w:lineRule="auto"/>
        <w:ind w:left="360"/>
      </w:pPr>
      <w:r>
        <w:rPr>
          <w:rFonts w:ascii="Arial" w:hAnsi="Arial"/>
          <w:b/>
          <w:sz w:val="22"/>
        </w:rPr>
        <w:t xml:space="preserve">* </w:t>
      </w:r>
      <w:r>
        <w:rPr>
          <w:rFonts w:ascii="Arial" w:hAnsi="Arial"/>
          <w:b/>
          <w:sz w:val="22"/>
        </w:rPr>
        <w:t>Gate F5.6 (Passband Cross-Check)</w:t>
      </w:r>
      <w:r>
        <w:rPr>
          <w:rFonts w:ascii="Arial" w:hAnsi="Arial"/>
          <w:sz w:val="22"/>
        </w:rPr>
        <w:t>: Verifies that hard X-ray counts exceed background noise by at least 3.0 standard deviations.</w:t>
      </w:r>
    </w:p>
    <w:p>
      <w:pPr>
        <w:spacing w:before="0" w:after="80" w:line="276" w:lineRule="auto"/>
        <w:ind w:left="360"/>
      </w:pPr>
      <w:r>
        <w:rPr>
          <w:rFonts w:ascii="Arial" w:hAnsi="Arial"/>
          <w:b/>
          <w:sz w:val="22"/>
        </w:rPr>
        <w:t xml:space="preserve">* </w:t>
      </w:r>
      <w:r>
        <w:rPr>
          <w:rFonts w:ascii="Arial" w:hAnsi="Arial"/>
          <w:b/>
          <w:sz w:val="22"/>
        </w:rPr>
        <w:t>Gate F5.7 (Timestamp Monotonicity)</w:t>
      </w:r>
      <w:r>
        <w:rPr>
          <w:rFonts w:ascii="Arial" w:hAnsi="Arial"/>
          <w:sz w:val="22"/>
        </w:rPr>
        <w:t>: Guarantees strictly monotonically increasing time coordinates across all synchronized instruments.</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Standard machine learning accuracy is completely uninformative in severe class imbalance. We employ standard space weather skill scores:</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Sensitivity + Specificity - 1 = (TP / (TP + FN)) - (FP / (FP + TN)). Independent of event frequency.</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accuracy relative to chance: HSS = 2(TP*TN - FP*FN) / ((TP+FN)(FN+TN) + (TP+FP)(FP+TN)).</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forecasting improvement over historical climatological baselines.</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Area under the precision-recall curve, penalizing false alarms in rare-event regimes.</w:t>
      </w:r>
    </w:p>
    <w:p>
      <w:r>
        <w:br w:type="page"/>
      </w:r>
    </w:p>
    <w:p>
      <w:pPr>
        <w:keepNext/>
        <w:spacing w:before="320" w:after="120"/>
        <w:jc w:val="left"/>
      </w:pPr>
      <w:r>
        <w:rPr>
          <w:rFonts w:ascii="Arial" w:hAnsi="Arial"/>
          <w:b/>
          <w:color w:val="000000"/>
          <w:sz w:val="28"/>
        </w:rPr>
        <w:t>4. DESIGN DESCRIPTION OF PROPOSED PROJECT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multi-band telemetry through four tightly integrated modules: (1) multi-spectral graph construction, (2) spatial multi-head self-attention, (3) causal temporal multi-head self-attention, and (4) dual-head multi-task output layer optimizing both class-balanced flare classification and thermodynamic PINN physics loss.</w:t>
      </w:r>
    </w:p>
    <w:p>
      <w:pPr>
        <w:keepNext/>
        <w:spacing w:before="200" w:after="80"/>
        <w:jc w:val="center"/>
      </w:pPr>
      <w:r>
        <w:drawing>
          <wp:inline xmlns:a="http://schemas.openxmlformats.org/drawingml/2006/main" xmlns:pic="http://schemas.openxmlformats.org/drawingml/2006/picture">
            <wp:extent cx="5029200" cy="2286000"/>
            <wp:docPr id="3" name="Picture 3"/>
            <wp:cNvGraphicFramePr>
              <a:graphicFrameLocks noChangeAspect="1"/>
            </wp:cNvGraphicFramePr>
            <a:graphic>
              <a:graphicData uri="http://schemas.openxmlformats.org/drawingml/2006/picture">
                <pic:pic>
                  <pic:nvPicPr>
                    <pic:cNvPr id="0" name="figure9_graph_transformer_architecture.png"/>
                    <pic:cNvPicPr/>
                  </pic:nvPicPr>
                  <pic:blipFill>
                    <a:blip r:embed="rId11"/>
                    <a:stretch>
                      <a:fillRect/>
                    </a:stretch>
                  </pic:blipFill>
                  <pic:spPr>
                    <a:xfrm>
                      <a:off x="0" y="0"/>
                      <a:ext cx="5029200" cy="2286000"/>
                    </a:xfrm>
                    <a:prstGeom prst="rect"/>
                  </pic:spPr>
                </pic:pic>
              </a:graphicData>
            </a:graphic>
          </wp:inline>
        </w:drawing>
      </w:r>
    </w:p>
    <w:p>
      <w:pPr>
        <w:spacing w:before="40" w:after="200" w:line="276" w:lineRule="auto"/>
        <w:jc w:val="center"/>
      </w:pPr>
      <w:r>
        <w:rPr>
          <w:rFonts w:ascii="Arial" w:hAnsi="Arial"/>
          <w:i/>
          <w:sz w:val="19"/>
        </w:rPr>
        <w:t>Figure 4.1: Spatio-Temporal Graph Transformer Architecture and Neupert PINN Multi-Task Learning Pipeline.</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sensory channels as unstructured vectors, we model the multi-spectral observations as a complete graph G = (V, E), where V = {v_0, v_1, v_2, v_3, v_4} represents the five physical energy passbands:</w:t>
      </w:r>
    </w:p>
    <w:p>
      <w:pPr>
        <w:spacing w:before="0" w:after="80" w:line="276" w:lineRule="auto"/>
        <w:ind w:left="360"/>
      </w:pPr>
      <w:r>
        <w:rPr>
          <w:rFonts w:ascii="Arial" w:hAnsi="Arial"/>
          <w:b/>
          <w:sz w:val="22"/>
        </w:rPr>
        <w:t xml:space="preserve">* </w:t>
      </w:r>
      <w:r>
        <w:rPr>
          <w:rFonts w:ascii="Arial" w:hAnsi="Arial"/>
          <w:b/>
          <w:sz w:val="22"/>
        </w:rPr>
        <w:t>Node 0 (SoLEXS Low Band)</w:t>
      </w:r>
      <w:r>
        <w:rPr>
          <w:rFonts w:ascii="Arial" w:hAnsi="Arial"/>
          <w:sz w:val="22"/>
        </w:rPr>
        <w:t>: Thermal soft X-rays (1-5 keV) measuring early coronal loop plasma heating.</w:t>
      </w:r>
    </w:p>
    <w:p>
      <w:pPr>
        <w:spacing w:before="0" w:after="80" w:line="276" w:lineRule="auto"/>
        <w:ind w:left="360"/>
      </w:pPr>
      <w:r>
        <w:rPr>
          <w:rFonts w:ascii="Arial" w:hAnsi="Arial"/>
          <w:b/>
          <w:sz w:val="22"/>
        </w:rPr>
        <w:t xml:space="preserve">* </w:t>
      </w:r>
      <w:r>
        <w:rPr>
          <w:rFonts w:ascii="Arial" w:hAnsi="Arial"/>
          <w:b/>
          <w:sz w:val="22"/>
        </w:rPr>
        <w:t>Node 1 (SoLEXS High Band)</w:t>
      </w:r>
      <w:r>
        <w:rPr>
          <w:rFonts w:ascii="Arial" w:hAnsi="Arial"/>
          <w:sz w:val="22"/>
        </w:rPr>
        <w:t>: Thermal soft X-rays (5-15 keV) measuring peak evaporative flare emission.</w:t>
      </w:r>
    </w:p>
    <w:p>
      <w:pPr>
        <w:spacing w:before="0" w:after="80" w:line="276" w:lineRule="auto"/>
        <w:ind w:left="360"/>
      </w:pPr>
      <w:r>
        <w:rPr>
          <w:rFonts w:ascii="Arial" w:hAnsi="Arial"/>
          <w:b/>
          <w:sz w:val="22"/>
        </w:rPr>
        <w:t xml:space="preserve">* </w:t>
      </w:r>
      <w:r>
        <w:rPr>
          <w:rFonts w:ascii="Arial" w:hAnsi="Arial"/>
          <w:b/>
          <w:sz w:val="22"/>
        </w:rPr>
        <w:t>Node 2 (HEL1OS CdTe Low Band)</w:t>
      </w:r>
      <w:r>
        <w:rPr>
          <w:rFonts w:ascii="Arial" w:hAnsi="Arial"/>
          <w:sz w:val="22"/>
        </w:rPr>
        <w:t>: Transition hard X-rays (30-40 keV) capturing non-thermal electron beam onset.</w:t>
      </w:r>
    </w:p>
    <w:p>
      <w:pPr>
        <w:spacing w:before="0" w:after="80" w:line="276" w:lineRule="auto"/>
        <w:ind w:left="360"/>
      </w:pPr>
      <w:r>
        <w:rPr>
          <w:rFonts w:ascii="Arial" w:hAnsi="Arial"/>
          <w:b/>
          <w:sz w:val="22"/>
        </w:rPr>
        <w:t xml:space="preserve">* </w:t>
      </w:r>
      <w:r>
        <w:rPr>
          <w:rFonts w:ascii="Arial" w:hAnsi="Arial"/>
          <w:b/>
          <w:sz w:val="22"/>
        </w:rPr>
        <w:t>Node 3 (HEL1OS CdTe High Band)</w:t>
      </w:r>
      <w:r>
        <w:rPr>
          <w:rFonts w:ascii="Arial" w:hAnsi="Arial"/>
          <w:sz w:val="22"/>
        </w:rPr>
        <w:t>: Impulsive hard X-rays (40-60 keV) capturing direct thick-target bremsstrahlung.</w:t>
      </w:r>
    </w:p>
    <w:p>
      <w:pPr>
        <w:spacing w:before="0" w:after="80" w:line="276" w:lineRule="auto"/>
        <w:ind w:left="360"/>
      </w:pPr>
      <w:r>
        <w:rPr>
          <w:rFonts w:ascii="Arial" w:hAnsi="Arial"/>
          <w:b/>
          <w:sz w:val="22"/>
        </w:rPr>
        <w:t xml:space="preserve">* </w:t>
      </w:r>
      <w:r>
        <w:rPr>
          <w:rFonts w:ascii="Arial" w:hAnsi="Arial"/>
          <w:b/>
          <w:sz w:val="22"/>
        </w:rPr>
        <w:t>Node 4 (HEL1OS CZT Band)</w:t>
      </w:r>
      <w:r>
        <w:rPr>
          <w:rFonts w:ascii="Arial" w:hAnsi="Arial"/>
          <w:sz w:val="22"/>
        </w:rPr>
        <w:t>: Extreme hard X-rays (60-150 keV) capturing relativistic electron acceleration.</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Given node feature tensor X in R^(B x T x N x D), the network applies two decoupled attention mechanisms. Spatial multi-head self-attention computes dynamic cross-energy coupling weights, allowing the model to adaptively infer energy transfer between non-thermal and thermal bands. Subsequently, causal temporal multi-head self-attention computes dependencies across time steps, enforcing physical causality where only past precursor windows can influence future flare states:</w:t>
      </w:r>
    </w:p>
    <w:p>
      <w:pPr>
        <w:spacing w:before="80" w:after="120" w:line="300" w:lineRule="auto"/>
        <w:jc w:val="center"/>
      </w:pPr>
      <w:r>
        <w:rPr>
          <w:rFonts w:ascii="Arial" w:hAnsi="Arial"/>
          <w:b/>
          <w:i w:val="0"/>
          <w:color w:val="000000"/>
          <w:sz w:val="21"/>
        </w:rPr>
        <w:t>Attn(Q, K, V) = softmax( (Q * K^T) / sqrt(d_k) + M_causal ) * V</w:t>
      </w:r>
    </w:p>
    <w:p>
      <w:pPr>
        <w:spacing w:before="0" w:after="120" w:line="300" w:lineRule="auto"/>
        <w:jc w:val="both"/>
      </w:pPr>
      <w:r>
        <w:rPr>
          <w:rFonts w:ascii="Arial" w:hAnsi="Arial"/>
          <w:b w:val="0"/>
          <w:i w:val="0"/>
          <w:color w:val="000000"/>
          <w:sz w:val="22"/>
        </w:rPr>
        <w:t>where M_causal is an upper-triangular masking matrix ensuring that future information is never leaked during training or inference.</w:t>
      </w:r>
    </w:p>
    <w:p>
      <w:pPr>
        <w:keepNext/>
        <w:spacing w:before="240" w:after="80"/>
        <w:jc w:val="left"/>
      </w:pPr>
      <w:r>
        <w:rPr>
          <w:rFonts w:ascii="Arial" w:hAnsi="Arial"/>
          <w:b/>
          <w:color w:val="000000"/>
          <w:sz w:val="24"/>
        </w:rPr>
        <w:t>4.4 Differentiable Physics-Informed Loss (PINN Inductive Bias)</w:t>
      </w:r>
    </w:p>
    <w:p>
      <w:pPr>
        <w:spacing w:before="0" w:after="120" w:line="300" w:lineRule="auto"/>
        <w:jc w:val="both"/>
      </w:pPr>
      <w:r>
        <w:rPr>
          <w:rFonts w:ascii="Arial" w:hAnsi="Arial"/>
          <w:b w:val="0"/>
          <w:i w:val="0"/>
          <w:color w:val="000000"/>
          <w:sz w:val="22"/>
        </w:rPr>
        <w:t>The network features a secondary PINN regression head that predicts the temporal derivative of the soft X-ray flux d(F_SXR)/dt. The thermodynamic loss is formulated as:</w:t>
      </w:r>
    </w:p>
    <w:p>
      <w:pPr>
        <w:spacing w:before="80" w:after="120" w:line="300" w:lineRule="auto"/>
        <w:jc w:val="center"/>
      </w:pPr>
      <w:r>
        <w:rPr>
          <w:rFonts w:ascii="Arial" w:hAnsi="Arial"/>
          <w:b/>
          <w:i w:val="0"/>
          <w:color w:val="000000"/>
          <w:sz w:val="21"/>
        </w:rPr>
        <w:t>L_PINN = || d(F_SXR)/dt - (alpha * F_HXR(t) - beta * F_SXR(t)) ||^2</w:t>
      </w:r>
    </w:p>
    <w:p>
      <w:pPr>
        <w:spacing w:before="0" w:after="120" w:line="300" w:lineRule="auto"/>
        <w:jc w:val="both"/>
      </w:pPr>
      <w:r>
        <w:rPr>
          <w:rFonts w:ascii="Arial" w:hAnsi="Arial"/>
          <w:b w:val="0"/>
          <w:i w:val="0"/>
          <w:color w:val="000000"/>
          <w:sz w:val="22"/>
        </w:rPr>
        <w:t>where alpha and beta are learnable positive parameters constrained via positive clamping: alpha = clamp(raw_alpha, 0.01, 1.0) and beta = clamp(raw_beta, 0.001, 0.50). This inductive bias guarantees that the model learns physically consistent coronal cooling timescales tau = 1/beta rather than fitting high-frequency telemetry noise.</w:t>
      </w:r>
    </w:p>
    <w:p>
      <w:pPr>
        <w:keepNext/>
        <w:spacing w:before="240" w:after="80"/>
        <w:jc w:val="left"/>
      </w:pPr>
      <w:r>
        <w:rPr>
          <w:rFonts w:ascii="Arial" w:hAnsi="Arial"/>
          <w:b/>
          <w:color w:val="000000"/>
          <w:sz w:val="24"/>
        </w:rPr>
        <w:t>4.5 Mondrian Conformal Prediction Calibration</w:t>
      </w:r>
    </w:p>
    <w:p>
      <w:pPr>
        <w:spacing w:before="0" w:after="120" w:line="300" w:lineRule="auto"/>
        <w:jc w:val="both"/>
      </w:pPr>
      <w:r>
        <w:rPr>
          <w:rFonts w:ascii="Arial" w:hAnsi="Arial"/>
          <w:b w:val="0"/>
          <w:i w:val="0"/>
          <w:color w:val="000000"/>
          <w:sz w:val="22"/>
        </w:rPr>
        <w:t>To provide rigorous uncertainty guarantees, non-conformity scores s_i = 1 - f(x_i)_{y_i} are computed across a dedicated calibration split. For a specified significance level epsilon = 0.05, the conformal quantile q_hat is extracted. During live inference, prediction sets are constructed guaranteeing finite-sample marginal coverage P(Y in C(X)) &gt;= 95%, completely eliminating overconfident false alarms.</w:t>
      </w:r>
    </w:p>
    <w:p>
      <w:pPr>
        <w:keepNext/>
        <w:spacing w:before="240" w:after="80"/>
        <w:jc w:val="left"/>
      </w:pPr>
      <w:r>
        <w:rPr>
          <w:rFonts w:ascii="Arial" w:hAnsi="Arial"/>
          <w:b/>
          <w:color w:val="000000"/>
          <w:sz w:val="24"/>
        </w:rPr>
        <w:t>4.6 Richardson Economic Cost-Loss Decision Framework</w:t>
      </w:r>
    </w:p>
    <w:p>
      <w:pPr>
        <w:spacing w:before="0" w:after="120" w:line="300" w:lineRule="auto"/>
        <w:jc w:val="both"/>
      </w:pPr>
      <w:r>
        <w:rPr>
          <w:rFonts w:ascii="Arial" w:hAnsi="Arial"/>
          <w:b w:val="0"/>
          <w:i w:val="0"/>
          <w:color w:val="000000"/>
          <w:sz w:val="22"/>
        </w:rPr>
        <w:t>In operational space weather forecasting, a forecast is valuable only if it reduces decision costs. Using the Richardson (2000) framework, a user characterized by cost-loss ratio alpha = C/L derives relative economic value:</w:t>
      </w:r>
    </w:p>
    <w:p>
      <w:pPr>
        <w:spacing w:before="80" w:after="120" w:line="300" w:lineRule="auto"/>
        <w:jc w:val="center"/>
      </w:pPr>
      <w:r>
        <w:rPr>
          <w:rFonts w:ascii="Arial" w:hAnsi="Arial"/>
          <w:b/>
          <w:i w:val="0"/>
          <w:color w:val="000000"/>
          <w:sz w:val="19"/>
        </w:rPr>
        <w:t>V(alpha) = (min(alpha, p_base) - F*alpha*(1-p_base) - M*p_base*(1-alpha) - H*alpha*p_base) / (min(alpha, p_base) - alpha*p_base)</w:t>
      </w:r>
    </w:p>
    <w:p>
      <w:pPr>
        <w:spacing w:before="0" w:after="120" w:line="300" w:lineRule="auto"/>
        <w:jc w:val="both"/>
      </w:pPr>
      <w:r>
        <w:rPr>
          <w:rFonts w:ascii="Arial" w:hAnsi="Arial"/>
          <w:b w:val="0"/>
          <w:i w:val="0"/>
          <w:color w:val="000000"/>
          <w:sz w:val="22"/>
        </w:rPr>
        <w:t>where H is hit rate, F is false alarm rate, and M is miss rate, optimizing satellite operational protection decisions.</w:t>
      </w:r>
    </w:p>
    <w:p>
      <w:pPr>
        <w:keepNext/>
        <w:spacing w:before="240" w:after="80"/>
        <w:jc w:val="left"/>
      </w:pPr>
      <w:r>
        <w:rPr>
          <w:rFonts w:ascii="Arial" w:hAnsi="Arial"/>
          <w:b/>
          <w:color w:val="000000"/>
          <w:sz w:val="24"/>
        </w:rPr>
        <w:t>4.7 FastAPI Real-Time Streaming &amp; Operations Cockpit</w:t>
      </w:r>
    </w:p>
    <w:p>
      <w:pPr>
        <w:spacing w:before="0" w:after="120" w:line="300" w:lineRule="auto"/>
        <w:jc w:val="both"/>
      </w:pPr>
      <w:r>
        <w:rPr>
          <w:rFonts w:ascii="Arial" w:hAnsi="Arial"/>
          <w:b w:val="0"/>
          <w:i w:val="0"/>
          <w:color w:val="000000"/>
          <w:sz w:val="22"/>
        </w:rPr>
        <w:t>To deliver operational readiness, the trained model is encapsulated into a high-throughput FastAPI microservice capable of processing live telemetry streams with sub-12ms inference latency. The backend connects to an interactive mission operations cockpit displaying real-time multi-band lightcurves, spatial attention matrices, conformal coverage bounds, and automated constellation safeguard triggers.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held-out historic SOL2024-10-03 (X9.0) superflare. Across all four events, synchronized lightcurves demonstrate strong Neupert correlation between HEL1OS hard X-ray bursts and the derivative of SoLEXS soft X-ray emissions.</w:t>
      </w:r>
    </w:p>
    <w:p>
      <w:pPr>
        <w:keepNext/>
        <w:spacing w:before="200" w:after="80"/>
        <w:jc w:val="center"/>
      </w:pPr>
      <w:r>
        <w:drawing>
          <wp:inline xmlns:a="http://schemas.openxmlformats.org/drawingml/2006/main" xmlns:pic="http://schemas.openxmlformats.org/drawingml/2006/picture">
            <wp:extent cx="5029200" cy="3407891"/>
            <wp:docPr id="4" name="Picture 4"/>
            <wp:cNvGraphicFramePr>
              <a:graphicFrameLocks noChangeAspect="1"/>
            </wp:cNvGraphicFramePr>
            <a:graphic>
              <a:graphicData uri="http://schemas.openxmlformats.org/drawingml/2006/picture">
                <pic:pic>
                  <pic:nvPicPr>
                    <pic:cNvPr id="0" name="figure5_lightcurves.png"/>
                    <pic:cNvPicPr/>
                  </pic:nvPicPr>
                  <pic:blipFill>
                    <a:blip r:embed="rId12"/>
                    <a:stretch>
                      <a:fillRect/>
                    </a:stretch>
                  </pic:blipFill>
                  <pic:spPr>
                    <a:xfrm>
                      <a:off x="0" y="0"/>
                      <a:ext cx="5029200" cy="3407891"/>
                    </a:xfrm>
                    <a:prstGeom prst="rect"/>
                  </pic:spPr>
                </pic:pic>
              </a:graphicData>
            </a:graphic>
          </wp:inline>
        </w:drawing>
      </w:r>
    </w:p>
    <w:p>
      <w:pPr>
        <w:spacing w:before="40" w:after="200" w:line="276" w:lineRule="auto"/>
        <w:jc w:val="center"/>
      </w:pPr>
      <w:r>
        <w:rPr>
          <w:rFonts w:ascii="Arial" w:hAnsi="Arial"/>
          <w:i/>
          <w:sz w:val="19"/>
        </w:rPr>
        <w:t>Figure 5.1: Synchronized Lightcurves for the Four Major X-Class Solar Flares Observed by Aditya-L1 (SoLEXS &amp; HEL1OS).</w:t>
      </w:r>
    </w:p>
    <w:p>
      <w:pPr>
        <w:keepNext/>
        <w:spacing w:before="200" w:after="80"/>
        <w:jc w:val="center"/>
      </w:pPr>
      <w:r>
        <w:drawing>
          <wp:inline xmlns:a="http://schemas.openxmlformats.org/drawingml/2006/main" xmlns:pic="http://schemas.openxmlformats.org/drawingml/2006/picture">
            <wp:extent cx="5029200" cy="4195639"/>
            <wp:docPr id="5" name="Picture 5"/>
            <wp:cNvGraphicFramePr>
              <a:graphicFrameLocks noChangeAspect="1"/>
            </wp:cNvGraphicFramePr>
            <a:graphic>
              <a:graphicData uri="http://schemas.openxmlformats.org/drawingml/2006/picture">
                <pic:pic>
                  <pic:nvPicPr>
                    <pic:cNvPr id="0" name="figure7_neupert_scatter.png"/>
                    <pic:cNvPicPr/>
                  </pic:nvPicPr>
                  <pic:blipFill>
                    <a:blip r:embed="rId13"/>
                    <a:stretch>
                      <a:fillRect/>
                    </a:stretch>
                  </pic:blipFill>
                  <pic:spPr>
                    <a:xfrm>
                      <a:off x="0" y="0"/>
                      <a:ext cx="5029200" cy="4195639"/>
                    </a:xfrm>
                    <a:prstGeom prst="rect"/>
                  </pic:spPr>
                </pic:pic>
              </a:graphicData>
            </a:graphic>
          </wp:inline>
        </w:drawing>
      </w:r>
    </w:p>
    <w:p>
      <w:pPr>
        <w:spacing w:before="40" w:after="20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200" w:after="80"/>
        <w:jc w:val="center"/>
      </w:pPr>
      <w:r>
        <w:drawing>
          <wp:inline xmlns:a="http://schemas.openxmlformats.org/drawingml/2006/main" xmlns:pic="http://schemas.openxmlformats.org/drawingml/2006/picture">
            <wp:extent cx="5029200" cy="3577073"/>
            <wp:docPr id="6" name="Picture 6"/>
            <wp:cNvGraphicFramePr>
              <a:graphicFrameLocks noChangeAspect="1"/>
            </wp:cNvGraphicFramePr>
            <a:graphic>
              <a:graphicData uri="http://schemas.openxmlformats.org/drawingml/2006/picture">
                <pic:pic>
                  <pic:nvPicPr>
                    <pic:cNvPr id="0" name="figure8_band_sweep.png"/>
                    <pic:cNvPicPr/>
                  </pic:nvPicPr>
                  <pic:blipFill>
                    <a:blip r:embed="rId14"/>
                    <a:stretch>
                      <a:fillRect/>
                    </a:stretch>
                  </pic:blipFill>
                  <pic:spPr>
                    <a:xfrm>
                      <a:off x="0" y="0"/>
                      <a:ext cx="5029200" cy="3577073"/>
                    </a:xfrm>
                    <a:prstGeom prst="rect"/>
                  </pic:spPr>
                </pic:pic>
              </a:graphicData>
            </a:graphic>
          </wp:inline>
        </w:drawing>
      </w:r>
    </w:p>
    <w:p>
      <w:pPr>
        <w:spacing w:before="40" w:after="200" w:line="276" w:lineRule="auto"/>
        <w:jc w:val="center"/>
      </w:pPr>
      <w:r>
        <w:rPr>
          <w:rFonts w:ascii="Arial" w:hAnsi="Arial"/>
          <w:i/>
          <w:sz w:val="19"/>
        </w:rPr>
        <w:t>Figure 5.3: Energy-Band Sensitivity Sweep across 40 Evaluated Passband Permutations Confirming Neupert Superiority.</w:t>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8" w:type="dxa"/>
              <w:bottom w:w="28" w:type="dxa"/>
              <w:left w:w="40" w:type="dxa"/>
              <w:right w:w="40" w:type="dxa"/>
            </w:tcMar>
            <w:shd w:fill="EAECEE"/>
          </w:tcPr>
          <w:p>
            <w:pPr>
              <w:jc w:val="center"/>
            </w:pPr>
            <w:r>
              <w:rPr>
                <w:b/>
                <w:sz w:val="16"/>
              </w:rPr>
              <w:t>Model Architecture</w:t>
            </w:r>
          </w:p>
        </w:tc>
        <w:tc>
          <w:tcPr>
            <w:tcW w:type="dxa" w:w="1286"/>
            <w:tcMar>
              <w:top w:w="28" w:type="dxa"/>
              <w:bottom w:w="28" w:type="dxa"/>
              <w:left w:w="40" w:type="dxa"/>
              <w:right w:w="40" w:type="dxa"/>
            </w:tcMar>
            <w:shd w:fill="EAECEE"/>
          </w:tcPr>
          <w:p>
            <w:pPr>
              <w:jc w:val="center"/>
            </w:pPr>
            <w:r>
              <w:rPr>
                <w:b/>
                <w:sz w:val="16"/>
              </w:rPr>
              <w:t>TSS</w:t>
            </w:r>
          </w:p>
        </w:tc>
        <w:tc>
          <w:tcPr>
            <w:tcW w:type="dxa" w:w="1286"/>
            <w:tcMar>
              <w:top w:w="28" w:type="dxa"/>
              <w:bottom w:w="28" w:type="dxa"/>
              <w:left w:w="40" w:type="dxa"/>
              <w:right w:w="40" w:type="dxa"/>
            </w:tcMar>
            <w:shd w:fill="EAECEE"/>
          </w:tcPr>
          <w:p>
            <w:pPr>
              <w:jc w:val="center"/>
            </w:pPr>
            <w:r>
              <w:rPr>
                <w:b/>
                <w:sz w:val="16"/>
              </w:rPr>
              <w:t>HSS</w:t>
            </w:r>
          </w:p>
        </w:tc>
        <w:tc>
          <w:tcPr>
            <w:tcW w:type="dxa" w:w="1286"/>
            <w:tcMar>
              <w:top w:w="28" w:type="dxa"/>
              <w:bottom w:w="28" w:type="dxa"/>
              <w:left w:w="40" w:type="dxa"/>
              <w:right w:w="40" w:type="dxa"/>
            </w:tcMar>
            <w:shd w:fill="EAECEE"/>
          </w:tcPr>
          <w:p>
            <w:pPr>
              <w:jc w:val="center"/>
            </w:pPr>
            <w:r>
              <w:rPr>
                <w:b/>
                <w:sz w:val="16"/>
              </w:rPr>
              <w:t>BSS</w:t>
            </w:r>
          </w:p>
        </w:tc>
        <w:tc>
          <w:tcPr>
            <w:tcW w:type="dxa" w:w="1286"/>
            <w:tcMar>
              <w:top w:w="28" w:type="dxa"/>
              <w:bottom w:w="28" w:type="dxa"/>
              <w:left w:w="40" w:type="dxa"/>
              <w:right w:w="40" w:type="dxa"/>
            </w:tcMar>
            <w:shd w:fill="EAECEE"/>
          </w:tcPr>
          <w:p>
            <w:pPr>
              <w:jc w:val="center"/>
            </w:pPr>
            <w:r>
              <w:rPr>
                <w:b/>
                <w:sz w:val="16"/>
              </w:rPr>
              <w:t>PR-AUC</w:t>
            </w:r>
          </w:p>
        </w:tc>
        <w:tc>
          <w:tcPr>
            <w:tcW w:type="dxa" w:w="1286"/>
            <w:tcMar>
              <w:top w:w="28" w:type="dxa"/>
              <w:bottom w:w="28" w:type="dxa"/>
              <w:left w:w="40" w:type="dxa"/>
              <w:right w:w="40" w:type="dxa"/>
            </w:tcMar>
            <w:shd w:fill="EAECEE"/>
          </w:tcPr>
          <w:p>
            <w:pPr>
              <w:jc w:val="center"/>
            </w:pPr>
            <w:r>
              <w:rPr>
                <w:b/>
                <w:sz w:val="16"/>
              </w:rPr>
              <w:t>FAR (%)</w:t>
            </w:r>
          </w:p>
        </w:tc>
        <w:tc>
          <w:tcPr>
            <w:tcW w:type="dxa" w:w="1286"/>
            <w:tcMar>
              <w:top w:w="28" w:type="dxa"/>
              <w:bottom w:w="28" w:type="dxa"/>
              <w:left w:w="40" w:type="dxa"/>
              <w:right w:w="40" w:type="dxa"/>
            </w:tcMar>
            <w:shd w:fill="EAECEE"/>
          </w:tcPr>
          <w:p>
            <w:pPr>
              <w:jc w:val="center"/>
            </w:pPr>
            <w:r>
              <w:rPr>
                <w:b/>
                <w:sz w:val="16"/>
              </w:rPr>
              <w:t>Lead Time</w:t>
            </w:r>
          </w:p>
        </w:tc>
      </w:tr>
      <w:tr>
        <w:trPr>
          <w:cantSplit/>
        </w:trPr>
        <w:tc>
          <w:tcPr>
            <w:tcW w:type="dxa" w:w="1286"/>
            <w:tcMar>
              <w:top w:w="28" w:type="dxa"/>
              <w:bottom w:w="28" w:type="dxa"/>
              <w:left w:w="40" w:type="dxa"/>
              <w:right w:w="40" w:type="dxa"/>
            </w:tcMar>
          </w:tcPr>
          <w:p>
            <w:pPr>
              <w:jc w:val="center"/>
            </w:pPr>
            <w:r>
              <w:rPr>
                <w:sz w:val="16"/>
              </w:rPr>
              <w:t>Logistic Regression</w:t>
            </w:r>
          </w:p>
        </w:tc>
        <w:tc>
          <w:tcPr>
            <w:tcW w:type="dxa" w:w="1286"/>
            <w:tcMar>
              <w:top w:w="28" w:type="dxa"/>
              <w:bottom w:w="28" w:type="dxa"/>
              <w:left w:w="40" w:type="dxa"/>
              <w:right w:w="40" w:type="dxa"/>
            </w:tcMar>
          </w:tcPr>
          <w:p>
            <w:pPr>
              <w:jc w:val="center"/>
            </w:pPr>
            <w:r>
              <w:rPr>
                <w:sz w:val="16"/>
              </w:rPr>
              <w:t>0.412</w:t>
            </w:r>
          </w:p>
        </w:tc>
        <w:tc>
          <w:tcPr>
            <w:tcW w:type="dxa" w:w="1286"/>
            <w:tcMar>
              <w:top w:w="28" w:type="dxa"/>
              <w:bottom w:w="28" w:type="dxa"/>
              <w:left w:w="40" w:type="dxa"/>
              <w:right w:w="40" w:type="dxa"/>
            </w:tcMar>
          </w:tcPr>
          <w:p>
            <w:pPr>
              <w:jc w:val="center"/>
            </w:pPr>
            <w:r>
              <w:rPr>
                <w:sz w:val="16"/>
              </w:rPr>
              <w:t>0.345</w:t>
            </w:r>
          </w:p>
        </w:tc>
        <w:tc>
          <w:tcPr>
            <w:tcW w:type="dxa" w:w="1286"/>
            <w:tcMar>
              <w:top w:w="28" w:type="dxa"/>
              <w:bottom w:w="28" w:type="dxa"/>
              <w:left w:w="40" w:type="dxa"/>
              <w:right w:w="40" w:type="dxa"/>
            </w:tcMar>
          </w:tcPr>
          <w:p>
            <w:pPr>
              <w:jc w:val="center"/>
            </w:pPr>
            <w:r>
              <w:rPr>
                <w:sz w:val="16"/>
              </w:rPr>
              <w:t>0.108</w:t>
            </w:r>
          </w:p>
        </w:tc>
        <w:tc>
          <w:tcPr>
            <w:tcW w:type="dxa" w:w="1286"/>
            <w:tcMar>
              <w:top w:w="28" w:type="dxa"/>
              <w:bottom w:w="28" w:type="dxa"/>
              <w:left w:w="40" w:type="dxa"/>
              <w:right w:w="40" w:type="dxa"/>
            </w:tcMar>
          </w:tcPr>
          <w:p>
            <w:pPr>
              <w:jc w:val="center"/>
            </w:pPr>
            <w:r>
              <w:rPr>
                <w:sz w:val="16"/>
              </w:rPr>
              <w:t>0.389</w:t>
            </w:r>
          </w:p>
        </w:tc>
        <w:tc>
          <w:tcPr>
            <w:tcW w:type="dxa" w:w="1286"/>
            <w:tcMar>
              <w:top w:w="28" w:type="dxa"/>
              <w:bottom w:w="28" w:type="dxa"/>
              <w:left w:w="40" w:type="dxa"/>
              <w:right w:w="40" w:type="dxa"/>
            </w:tcMar>
          </w:tcPr>
          <w:p>
            <w:pPr>
              <w:jc w:val="center"/>
            </w:pPr>
            <w:r>
              <w:rPr>
                <w:sz w:val="16"/>
              </w:rPr>
              <w:t>58.4%</w:t>
            </w:r>
          </w:p>
        </w:tc>
        <w:tc>
          <w:tcPr>
            <w:tcW w:type="dxa" w:w="1286"/>
            <w:tcMar>
              <w:top w:w="28" w:type="dxa"/>
              <w:bottom w:w="28" w:type="dxa"/>
              <w:left w:w="40" w:type="dxa"/>
              <w:right w:w="40" w:type="dxa"/>
            </w:tcMar>
          </w:tcPr>
          <w:p>
            <w:pPr>
              <w:jc w:val="center"/>
            </w:pPr>
            <w:r>
              <w:rPr>
                <w:sz w:val="16"/>
              </w:rPr>
              <w:t>0.42 h</w:t>
            </w:r>
          </w:p>
        </w:tc>
      </w:tr>
      <w:tr>
        <w:trPr>
          <w:cantSplit/>
        </w:trPr>
        <w:tc>
          <w:tcPr>
            <w:tcW w:type="dxa" w:w="1286"/>
            <w:tcMar>
              <w:top w:w="28" w:type="dxa"/>
              <w:bottom w:w="28" w:type="dxa"/>
              <w:left w:w="40" w:type="dxa"/>
              <w:right w:w="40" w:type="dxa"/>
            </w:tcMar>
          </w:tcPr>
          <w:p>
            <w:pPr>
              <w:jc w:val="center"/>
            </w:pPr>
            <w:r>
              <w:rPr>
                <w:sz w:val="16"/>
              </w:rPr>
              <w:t>Random Forest</w:t>
            </w:r>
          </w:p>
        </w:tc>
        <w:tc>
          <w:tcPr>
            <w:tcW w:type="dxa" w:w="1286"/>
            <w:tcMar>
              <w:top w:w="28" w:type="dxa"/>
              <w:bottom w:w="28" w:type="dxa"/>
              <w:left w:w="40" w:type="dxa"/>
              <w:right w:w="40" w:type="dxa"/>
            </w:tcMar>
          </w:tcPr>
          <w:p>
            <w:pPr>
              <w:jc w:val="center"/>
            </w:pPr>
            <w:r>
              <w:rPr>
                <w:sz w:val="16"/>
              </w:rPr>
              <w:t>0.589</w:t>
            </w:r>
          </w:p>
        </w:tc>
        <w:tc>
          <w:tcPr>
            <w:tcW w:type="dxa" w:w="1286"/>
            <w:tcMar>
              <w:top w:w="28" w:type="dxa"/>
              <w:bottom w:w="28" w:type="dxa"/>
              <w:left w:w="40" w:type="dxa"/>
              <w:right w:w="40" w:type="dxa"/>
            </w:tcMar>
          </w:tcPr>
          <w:p>
            <w:pPr>
              <w:jc w:val="center"/>
            </w:pPr>
            <w:r>
              <w:rPr>
                <w:sz w:val="16"/>
              </w:rPr>
              <w:t>0.512</w:t>
            </w:r>
          </w:p>
        </w:tc>
        <w:tc>
          <w:tcPr>
            <w:tcW w:type="dxa" w:w="1286"/>
            <w:tcMar>
              <w:top w:w="28" w:type="dxa"/>
              <w:bottom w:w="28" w:type="dxa"/>
              <w:left w:w="40" w:type="dxa"/>
              <w:right w:w="40" w:type="dxa"/>
            </w:tcMar>
          </w:tcPr>
          <w:p>
            <w:pPr>
              <w:jc w:val="center"/>
            </w:pPr>
            <w:r>
              <w:rPr>
                <w:sz w:val="16"/>
              </w:rPr>
              <w:t>0.221</w:t>
            </w:r>
          </w:p>
        </w:tc>
        <w:tc>
          <w:tcPr>
            <w:tcW w:type="dxa" w:w="1286"/>
            <w:tcMar>
              <w:top w:w="28" w:type="dxa"/>
              <w:bottom w:w="28" w:type="dxa"/>
              <w:left w:w="40" w:type="dxa"/>
              <w:right w:w="40" w:type="dxa"/>
            </w:tcMar>
          </w:tcPr>
          <w:p>
            <w:pPr>
              <w:jc w:val="center"/>
            </w:pPr>
            <w:r>
              <w:rPr>
                <w:sz w:val="16"/>
              </w:rPr>
              <w:t>0.562</w:t>
            </w:r>
          </w:p>
        </w:tc>
        <w:tc>
          <w:tcPr>
            <w:tcW w:type="dxa" w:w="1286"/>
            <w:tcMar>
              <w:top w:w="28" w:type="dxa"/>
              <w:bottom w:w="28" w:type="dxa"/>
              <w:left w:w="40" w:type="dxa"/>
              <w:right w:w="40" w:type="dxa"/>
            </w:tcMar>
          </w:tcPr>
          <w:p>
            <w:pPr>
              <w:jc w:val="center"/>
            </w:pPr>
            <w:r>
              <w:rPr>
                <w:sz w:val="16"/>
              </w:rPr>
              <w:t>41.2%</w:t>
            </w:r>
          </w:p>
        </w:tc>
        <w:tc>
          <w:tcPr>
            <w:tcW w:type="dxa" w:w="1286"/>
            <w:tcMar>
              <w:top w:w="28" w:type="dxa"/>
              <w:bottom w:w="28" w:type="dxa"/>
              <w:left w:w="40" w:type="dxa"/>
              <w:right w:w="40" w:type="dxa"/>
            </w:tcMar>
          </w:tcPr>
          <w:p>
            <w:pPr>
              <w:jc w:val="center"/>
            </w:pPr>
            <w:r>
              <w:rPr>
                <w:sz w:val="16"/>
              </w:rPr>
              <w:t>0.85 h</w:t>
            </w:r>
          </w:p>
        </w:tc>
      </w:tr>
      <w:tr>
        <w:trPr>
          <w:cantSplit/>
        </w:trPr>
        <w:tc>
          <w:tcPr>
            <w:tcW w:type="dxa" w:w="1286"/>
            <w:tcMar>
              <w:top w:w="28" w:type="dxa"/>
              <w:bottom w:w="28" w:type="dxa"/>
              <w:left w:w="40" w:type="dxa"/>
              <w:right w:w="40" w:type="dxa"/>
            </w:tcMar>
          </w:tcPr>
          <w:p>
            <w:pPr>
              <w:jc w:val="center"/>
            </w:pPr>
            <w:r>
              <w:rPr>
                <w:sz w:val="16"/>
              </w:rPr>
              <w:t>XGBoost (HMI Tabular)</w:t>
            </w:r>
          </w:p>
        </w:tc>
        <w:tc>
          <w:tcPr>
            <w:tcW w:type="dxa" w:w="1286"/>
            <w:tcMar>
              <w:top w:w="28" w:type="dxa"/>
              <w:bottom w:w="28" w:type="dxa"/>
              <w:left w:w="40" w:type="dxa"/>
              <w:right w:w="40" w:type="dxa"/>
            </w:tcMar>
          </w:tcPr>
          <w:p>
            <w:pPr>
              <w:jc w:val="center"/>
            </w:pPr>
            <w:r>
              <w:rPr>
                <w:sz w:val="16"/>
              </w:rPr>
              <w:t>0.634</w:t>
            </w:r>
          </w:p>
        </w:tc>
        <w:tc>
          <w:tcPr>
            <w:tcW w:type="dxa" w:w="1286"/>
            <w:tcMar>
              <w:top w:w="28" w:type="dxa"/>
              <w:bottom w:w="28" w:type="dxa"/>
              <w:left w:w="40" w:type="dxa"/>
              <w:right w:w="40" w:type="dxa"/>
            </w:tcMar>
          </w:tcPr>
          <w:p>
            <w:pPr>
              <w:jc w:val="center"/>
            </w:pPr>
            <w:r>
              <w:rPr>
                <w:sz w:val="16"/>
              </w:rPr>
              <w:t>0.568</w:t>
            </w:r>
          </w:p>
        </w:tc>
        <w:tc>
          <w:tcPr>
            <w:tcW w:type="dxa" w:w="1286"/>
            <w:tcMar>
              <w:top w:w="28" w:type="dxa"/>
              <w:bottom w:w="28" w:type="dxa"/>
              <w:left w:w="40" w:type="dxa"/>
              <w:right w:w="40" w:type="dxa"/>
            </w:tcMar>
          </w:tcPr>
          <w:p>
            <w:pPr>
              <w:jc w:val="center"/>
            </w:pPr>
            <w:r>
              <w:rPr>
                <w:sz w:val="16"/>
              </w:rPr>
              <w:t>0.264</w:t>
            </w:r>
          </w:p>
        </w:tc>
        <w:tc>
          <w:tcPr>
            <w:tcW w:type="dxa" w:w="1286"/>
            <w:tcMar>
              <w:top w:w="28" w:type="dxa"/>
              <w:bottom w:w="28" w:type="dxa"/>
              <w:left w:w="40" w:type="dxa"/>
              <w:right w:w="40" w:type="dxa"/>
            </w:tcMar>
          </w:tcPr>
          <w:p>
            <w:pPr>
              <w:jc w:val="center"/>
            </w:pPr>
            <w:r>
              <w:rPr>
                <w:sz w:val="16"/>
              </w:rPr>
              <w:t>0.618</w:t>
            </w:r>
          </w:p>
        </w:tc>
        <w:tc>
          <w:tcPr>
            <w:tcW w:type="dxa" w:w="1286"/>
            <w:tcMar>
              <w:top w:w="28" w:type="dxa"/>
              <w:bottom w:w="28" w:type="dxa"/>
              <w:left w:w="40" w:type="dxa"/>
              <w:right w:w="40" w:type="dxa"/>
            </w:tcMar>
          </w:tcPr>
          <w:p>
            <w:pPr>
              <w:jc w:val="center"/>
            </w:pPr>
            <w:r>
              <w:rPr>
                <w:sz w:val="16"/>
              </w:rPr>
              <w:t>36.8%</w:t>
            </w:r>
          </w:p>
        </w:tc>
        <w:tc>
          <w:tcPr>
            <w:tcW w:type="dxa" w:w="1286"/>
            <w:tcMar>
              <w:top w:w="28" w:type="dxa"/>
              <w:bottom w:w="28" w:type="dxa"/>
              <w:left w:w="40" w:type="dxa"/>
              <w:right w:w="40" w:type="dxa"/>
            </w:tcMar>
          </w:tcPr>
          <w:p>
            <w:pPr>
              <w:jc w:val="center"/>
            </w:pPr>
            <w:r>
              <w:rPr>
                <w:sz w:val="16"/>
              </w:rPr>
              <w:t>1.10 h</w:t>
            </w:r>
          </w:p>
        </w:tc>
      </w:tr>
      <w:tr>
        <w:trPr>
          <w:cantSplit/>
        </w:trPr>
        <w:tc>
          <w:tcPr>
            <w:tcW w:type="dxa" w:w="1286"/>
            <w:tcMar>
              <w:top w:w="28" w:type="dxa"/>
              <w:bottom w:w="28" w:type="dxa"/>
              <w:left w:w="40" w:type="dxa"/>
              <w:right w:w="40" w:type="dxa"/>
            </w:tcMar>
          </w:tcPr>
          <w:p>
            <w:pPr>
              <w:jc w:val="center"/>
            </w:pPr>
            <w:r>
              <w:rPr>
                <w:sz w:val="16"/>
              </w:rPr>
              <w:t>Vanilla Transformer</w:t>
            </w:r>
          </w:p>
        </w:tc>
        <w:tc>
          <w:tcPr>
            <w:tcW w:type="dxa" w:w="1286"/>
            <w:tcMar>
              <w:top w:w="28" w:type="dxa"/>
              <w:bottom w:w="28" w:type="dxa"/>
              <w:left w:w="40" w:type="dxa"/>
              <w:right w:w="40" w:type="dxa"/>
            </w:tcMar>
          </w:tcPr>
          <w:p>
            <w:pPr>
              <w:jc w:val="center"/>
            </w:pPr>
            <w:r>
              <w:rPr>
                <w:sz w:val="16"/>
              </w:rPr>
              <w:t>0.711</w:t>
            </w:r>
          </w:p>
        </w:tc>
        <w:tc>
          <w:tcPr>
            <w:tcW w:type="dxa" w:w="1286"/>
            <w:tcMar>
              <w:top w:w="28" w:type="dxa"/>
              <w:bottom w:w="28" w:type="dxa"/>
              <w:left w:w="40" w:type="dxa"/>
              <w:right w:w="40" w:type="dxa"/>
            </w:tcMar>
          </w:tcPr>
          <w:p>
            <w:pPr>
              <w:jc w:val="center"/>
            </w:pPr>
            <w:r>
              <w:rPr>
                <w:sz w:val="16"/>
              </w:rPr>
              <w:t>0.642</w:t>
            </w:r>
          </w:p>
        </w:tc>
        <w:tc>
          <w:tcPr>
            <w:tcW w:type="dxa" w:w="1286"/>
            <w:tcMar>
              <w:top w:w="28" w:type="dxa"/>
              <w:bottom w:w="28" w:type="dxa"/>
              <w:left w:w="40" w:type="dxa"/>
              <w:right w:w="40" w:type="dxa"/>
            </w:tcMar>
          </w:tcPr>
          <w:p>
            <w:pPr>
              <w:jc w:val="center"/>
            </w:pPr>
            <w:r>
              <w:rPr>
                <w:sz w:val="16"/>
              </w:rPr>
              <w:t>0.320</w:t>
            </w:r>
          </w:p>
        </w:tc>
        <w:tc>
          <w:tcPr>
            <w:tcW w:type="dxa" w:w="1286"/>
            <w:tcMar>
              <w:top w:w="28" w:type="dxa"/>
              <w:bottom w:w="28" w:type="dxa"/>
              <w:left w:w="40" w:type="dxa"/>
              <w:right w:w="40" w:type="dxa"/>
            </w:tcMar>
          </w:tcPr>
          <w:p>
            <w:pPr>
              <w:jc w:val="center"/>
            </w:pPr>
            <w:r>
              <w:rPr>
                <w:sz w:val="16"/>
              </w:rPr>
              <w:t>0.704</w:t>
            </w:r>
          </w:p>
        </w:tc>
        <w:tc>
          <w:tcPr>
            <w:tcW w:type="dxa" w:w="1286"/>
            <w:tcMar>
              <w:top w:w="28" w:type="dxa"/>
              <w:bottom w:w="28" w:type="dxa"/>
              <w:left w:w="40" w:type="dxa"/>
              <w:right w:w="40" w:type="dxa"/>
            </w:tcMar>
          </w:tcPr>
          <w:p>
            <w:pPr>
              <w:jc w:val="center"/>
            </w:pPr>
            <w:r>
              <w:rPr>
                <w:sz w:val="16"/>
              </w:rPr>
              <w:t>29.5%</w:t>
            </w:r>
          </w:p>
        </w:tc>
        <w:tc>
          <w:tcPr>
            <w:tcW w:type="dxa" w:w="1286"/>
            <w:tcMar>
              <w:top w:w="28" w:type="dxa"/>
              <w:bottom w:w="28" w:type="dxa"/>
              <w:left w:w="40" w:type="dxa"/>
              <w:right w:w="40" w:type="dxa"/>
            </w:tcMar>
          </w:tcPr>
          <w:p>
            <w:pPr>
              <w:jc w:val="center"/>
            </w:pPr>
            <w:r>
              <w:rPr>
                <w:sz w:val="16"/>
              </w:rPr>
              <w:t>1.45 h</w:t>
            </w:r>
          </w:p>
        </w:tc>
      </w:tr>
      <w:tr>
        <w:trPr>
          <w:cantSplit/>
        </w:trPr>
        <w:tc>
          <w:tcPr>
            <w:tcW w:type="dxa" w:w="1286"/>
            <w:tcMar>
              <w:top w:w="28" w:type="dxa"/>
              <w:bottom w:w="28" w:type="dxa"/>
              <w:left w:w="40" w:type="dxa"/>
              <w:right w:w="40" w:type="dxa"/>
            </w:tcMar>
          </w:tcPr>
          <w:p>
            <w:pPr>
              <w:jc w:val="center"/>
            </w:pPr>
            <w:r>
              <w:rPr>
                <w:sz w:val="16"/>
              </w:rPr>
              <w:t>Bi-LSTM Sequence</w:t>
            </w:r>
          </w:p>
        </w:tc>
        <w:tc>
          <w:tcPr>
            <w:tcW w:type="dxa" w:w="1286"/>
            <w:tcMar>
              <w:top w:w="28" w:type="dxa"/>
              <w:bottom w:w="28" w:type="dxa"/>
              <w:left w:w="40" w:type="dxa"/>
              <w:right w:w="40" w:type="dxa"/>
            </w:tcMar>
          </w:tcPr>
          <w:p>
            <w:pPr>
              <w:jc w:val="center"/>
            </w:pPr>
            <w:r>
              <w:rPr>
                <w:sz w:val="16"/>
              </w:rPr>
              <w:t>0.684</w:t>
            </w:r>
          </w:p>
        </w:tc>
        <w:tc>
          <w:tcPr>
            <w:tcW w:type="dxa" w:w="1286"/>
            <w:tcMar>
              <w:top w:w="28" w:type="dxa"/>
              <w:bottom w:w="28" w:type="dxa"/>
              <w:left w:w="40" w:type="dxa"/>
              <w:right w:w="40" w:type="dxa"/>
            </w:tcMar>
          </w:tcPr>
          <w:p>
            <w:pPr>
              <w:jc w:val="center"/>
            </w:pPr>
            <w:r>
              <w:rPr>
                <w:sz w:val="16"/>
              </w:rPr>
              <w:t>0.615</w:t>
            </w:r>
          </w:p>
        </w:tc>
        <w:tc>
          <w:tcPr>
            <w:tcW w:type="dxa" w:w="1286"/>
            <w:tcMar>
              <w:top w:w="28" w:type="dxa"/>
              <w:bottom w:w="28" w:type="dxa"/>
              <w:left w:w="40" w:type="dxa"/>
              <w:right w:w="40" w:type="dxa"/>
            </w:tcMar>
          </w:tcPr>
          <w:p>
            <w:pPr>
              <w:jc w:val="center"/>
            </w:pPr>
            <w:r>
              <w:rPr>
                <w:sz w:val="16"/>
              </w:rPr>
              <w:t>0.298</w:t>
            </w:r>
          </w:p>
        </w:tc>
        <w:tc>
          <w:tcPr>
            <w:tcW w:type="dxa" w:w="1286"/>
            <w:tcMar>
              <w:top w:w="28" w:type="dxa"/>
              <w:bottom w:w="28" w:type="dxa"/>
              <w:left w:w="40" w:type="dxa"/>
              <w:right w:w="40" w:type="dxa"/>
            </w:tcMar>
          </w:tcPr>
          <w:p>
            <w:pPr>
              <w:jc w:val="center"/>
            </w:pPr>
            <w:r>
              <w:rPr>
                <w:sz w:val="16"/>
              </w:rPr>
              <w:t>0.672</w:t>
            </w:r>
          </w:p>
        </w:tc>
        <w:tc>
          <w:tcPr>
            <w:tcW w:type="dxa" w:w="1286"/>
            <w:tcMar>
              <w:top w:w="28" w:type="dxa"/>
              <w:bottom w:w="28" w:type="dxa"/>
              <w:left w:w="40" w:type="dxa"/>
              <w:right w:w="40" w:type="dxa"/>
            </w:tcMar>
          </w:tcPr>
          <w:p>
            <w:pPr>
              <w:jc w:val="center"/>
            </w:pPr>
            <w:r>
              <w:rPr>
                <w:sz w:val="16"/>
              </w:rPr>
              <w:t>32.1%</w:t>
            </w:r>
          </w:p>
        </w:tc>
        <w:tc>
          <w:tcPr>
            <w:tcW w:type="dxa" w:w="1286"/>
            <w:tcMar>
              <w:top w:w="28" w:type="dxa"/>
              <w:bottom w:w="28" w:type="dxa"/>
              <w:left w:w="40" w:type="dxa"/>
              <w:right w:w="40" w:type="dxa"/>
            </w:tcMar>
          </w:tcPr>
          <w:p>
            <w:pPr>
              <w:jc w:val="center"/>
            </w:pPr>
            <w:r>
              <w:rPr>
                <w:sz w:val="16"/>
              </w:rPr>
              <w:t>1.30 h</w:t>
            </w:r>
          </w:p>
        </w:tc>
      </w:tr>
      <w:tr>
        <w:trPr>
          <w:cantSplit/>
        </w:trPr>
        <w:tc>
          <w:tcPr>
            <w:tcW w:type="dxa" w:w="1286"/>
            <w:tcMar>
              <w:top w:w="28" w:type="dxa"/>
              <w:bottom w:w="28" w:type="dxa"/>
              <w:left w:w="40" w:type="dxa"/>
              <w:right w:w="40" w:type="dxa"/>
            </w:tcMar>
          </w:tcPr>
          <w:p>
            <w:pPr>
              <w:jc w:val="center"/>
            </w:pPr>
            <w:r>
              <w:rPr>
                <w:sz w:val="16"/>
              </w:rPr>
              <w:t>Standard ST-GNN (No PINN)</w:t>
            </w:r>
          </w:p>
        </w:tc>
        <w:tc>
          <w:tcPr>
            <w:tcW w:type="dxa" w:w="1286"/>
            <w:tcMar>
              <w:top w:w="28" w:type="dxa"/>
              <w:bottom w:w="28" w:type="dxa"/>
              <w:left w:w="40" w:type="dxa"/>
              <w:right w:w="40" w:type="dxa"/>
            </w:tcMar>
          </w:tcPr>
          <w:p>
            <w:pPr>
              <w:jc w:val="center"/>
            </w:pPr>
            <w:r>
              <w:rPr>
                <w:sz w:val="16"/>
              </w:rPr>
              <w:t>0.765</w:t>
            </w:r>
          </w:p>
        </w:tc>
        <w:tc>
          <w:tcPr>
            <w:tcW w:type="dxa" w:w="1286"/>
            <w:tcMar>
              <w:top w:w="28" w:type="dxa"/>
              <w:bottom w:w="28" w:type="dxa"/>
              <w:left w:w="40" w:type="dxa"/>
              <w:right w:w="40" w:type="dxa"/>
            </w:tcMar>
          </w:tcPr>
          <w:p>
            <w:pPr>
              <w:jc w:val="center"/>
            </w:pPr>
            <w:r>
              <w:rPr>
                <w:sz w:val="16"/>
              </w:rPr>
              <w:t>0.698</w:t>
            </w:r>
          </w:p>
        </w:tc>
        <w:tc>
          <w:tcPr>
            <w:tcW w:type="dxa" w:w="1286"/>
            <w:tcMar>
              <w:top w:w="28" w:type="dxa"/>
              <w:bottom w:w="28" w:type="dxa"/>
              <w:left w:w="40" w:type="dxa"/>
              <w:right w:w="40" w:type="dxa"/>
            </w:tcMar>
          </w:tcPr>
          <w:p>
            <w:pPr>
              <w:jc w:val="center"/>
            </w:pPr>
            <w:r>
              <w:rPr>
                <w:sz w:val="16"/>
              </w:rPr>
              <w:t>0.362</w:t>
            </w:r>
          </w:p>
        </w:tc>
        <w:tc>
          <w:tcPr>
            <w:tcW w:type="dxa" w:w="1286"/>
            <w:tcMar>
              <w:top w:w="28" w:type="dxa"/>
              <w:bottom w:w="28" w:type="dxa"/>
              <w:left w:w="40" w:type="dxa"/>
              <w:right w:w="40" w:type="dxa"/>
            </w:tcMar>
          </w:tcPr>
          <w:p>
            <w:pPr>
              <w:jc w:val="center"/>
            </w:pPr>
            <w:r>
              <w:rPr>
                <w:sz w:val="16"/>
              </w:rPr>
              <w:t>0.758</w:t>
            </w:r>
          </w:p>
        </w:tc>
        <w:tc>
          <w:tcPr>
            <w:tcW w:type="dxa" w:w="1286"/>
            <w:tcMar>
              <w:top w:w="28" w:type="dxa"/>
              <w:bottom w:w="28" w:type="dxa"/>
              <w:left w:w="40" w:type="dxa"/>
              <w:right w:w="40" w:type="dxa"/>
            </w:tcMar>
          </w:tcPr>
          <w:p>
            <w:pPr>
              <w:jc w:val="center"/>
            </w:pPr>
            <w:r>
              <w:rPr>
                <w:sz w:val="16"/>
              </w:rPr>
              <w:t>22.4%</w:t>
            </w:r>
          </w:p>
        </w:tc>
        <w:tc>
          <w:tcPr>
            <w:tcW w:type="dxa" w:w="1286"/>
            <w:tcMar>
              <w:top w:w="28" w:type="dxa"/>
              <w:bottom w:w="28" w:type="dxa"/>
              <w:left w:w="40" w:type="dxa"/>
              <w:right w:w="40" w:type="dxa"/>
            </w:tcMar>
          </w:tcPr>
          <w:p>
            <w:pPr>
              <w:jc w:val="center"/>
            </w:pPr>
            <w:r>
              <w:rPr>
                <w:sz w:val="16"/>
              </w:rPr>
              <w:t>1.60 h</w:t>
            </w:r>
          </w:p>
        </w:tc>
      </w:tr>
      <w:tr>
        <w:trPr>
          <w:cantSplit/>
        </w:trPr>
        <w:tc>
          <w:tcPr>
            <w:tcW w:type="dxa" w:w="1286"/>
            <w:tcMar>
              <w:top w:w="28" w:type="dxa"/>
              <w:bottom w:w="28" w:type="dxa"/>
              <w:left w:w="40" w:type="dxa"/>
              <w:right w:w="40" w:type="dxa"/>
            </w:tcMar>
            <w:shd w:fill="F0F9FF"/>
          </w:tcPr>
          <w:p>
            <w:pPr>
              <w:jc w:val="center"/>
            </w:pPr>
            <w:r>
              <w:rPr>
                <w:b/>
                <w:sz w:val="16"/>
              </w:rPr>
              <w:t>PINN ST-GT (Proposed)</w:t>
            </w:r>
          </w:p>
        </w:tc>
        <w:tc>
          <w:tcPr>
            <w:tcW w:type="dxa" w:w="1286"/>
            <w:tcMar>
              <w:top w:w="28" w:type="dxa"/>
              <w:bottom w:w="28" w:type="dxa"/>
              <w:left w:w="40" w:type="dxa"/>
              <w:right w:w="40" w:type="dxa"/>
            </w:tcMar>
            <w:shd w:fill="F0F9FF"/>
          </w:tcPr>
          <w:p>
            <w:pPr>
              <w:jc w:val="center"/>
            </w:pPr>
            <w:r>
              <w:rPr>
                <w:b/>
                <w:sz w:val="16"/>
              </w:rPr>
              <w:t>0.842</w:t>
            </w:r>
          </w:p>
        </w:tc>
        <w:tc>
          <w:tcPr>
            <w:tcW w:type="dxa" w:w="1286"/>
            <w:tcMar>
              <w:top w:w="28" w:type="dxa"/>
              <w:bottom w:w="28" w:type="dxa"/>
              <w:left w:w="40" w:type="dxa"/>
              <w:right w:w="40" w:type="dxa"/>
            </w:tcMar>
            <w:shd w:fill="F0F9FF"/>
          </w:tcPr>
          <w:p>
            <w:pPr>
              <w:jc w:val="center"/>
            </w:pPr>
            <w:r>
              <w:rPr>
                <w:b/>
                <w:sz w:val="16"/>
              </w:rPr>
              <w:t>0.768</w:t>
            </w:r>
          </w:p>
        </w:tc>
        <w:tc>
          <w:tcPr>
            <w:tcW w:type="dxa" w:w="1286"/>
            <w:tcMar>
              <w:top w:w="28" w:type="dxa"/>
              <w:bottom w:w="28" w:type="dxa"/>
              <w:left w:w="40" w:type="dxa"/>
              <w:right w:w="40" w:type="dxa"/>
            </w:tcMar>
            <w:shd w:fill="F0F9FF"/>
          </w:tcPr>
          <w:p>
            <w:pPr>
              <w:jc w:val="center"/>
            </w:pPr>
            <w:r>
              <w:rPr>
                <w:b/>
                <w:sz w:val="16"/>
              </w:rPr>
              <w:t>0.412</w:t>
            </w:r>
          </w:p>
        </w:tc>
        <w:tc>
          <w:tcPr>
            <w:tcW w:type="dxa" w:w="1286"/>
            <w:tcMar>
              <w:top w:w="28" w:type="dxa"/>
              <w:bottom w:w="28" w:type="dxa"/>
              <w:left w:w="40" w:type="dxa"/>
              <w:right w:w="40" w:type="dxa"/>
            </w:tcMar>
            <w:shd w:fill="F0F9FF"/>
          </w:tcPr>
          <w:p>
            <w:pPr>
              <w:jc w:val="center"/>
            </w:pPr>
            <w:r>
              <w:rPr>
                <w:b/>
                <w:sz w:val="16"/>
              </w:rPr>
              <w:t>0.835</w:t>
            </w:r>
          </w:p>
        </w:tc>
        <w:tc>
          <w:tcPr>
            <w:tcW w:type="dxa" w:w="1286"/>
            <w:tcMar>
              <w:top w:w="28" w:type="dxa"/>
              <w:bottom w:w="28" w:type="dxa"/>
              <w:left w:w="40" w:type="dxa"/>
              <w:right w:w="40" w:type="dxa"/>
            </w:tcMar>
            <w:shd w:fill="F0F9FF"/>
          </w:tcPr>
          <w:p>
            <w:pPr>
              <w:jc w:val="center"/>
            </w:pPr>
            <w:r>
              <w:rPr>
                <w:b/>
                <w:sz w:val="16"/>
              </w:rPr>
              <w:t>12.8%</w:t>
            </w:r>
          </w:p>
        </w:tc>
        <w:tc>
          <w:tcPr>
            <w:tcW w:type="dxa" w:w="1286"/>
            <w:tcMar>
              <w:top w:w="28" w:type="dxa"/>
              <w:bottom w:w="28" w:type="dxa"/>
              <w:left w:w="40" w:type="dxa"/>
              <w:right w:w="40"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200" w:after="80"/>
        <w:jc w:val="center"/>
      </w:pPr>
      <w:r>
        <w:drawing>
          <wp:inline xmlns:a="http://schemas.openxmlformats.org/drawingml/2006/main" xmlns:pic="http://schemas.openxmlformats.org/drawingml/2006/picture">
            <wp:extent cx="5029200" cy="2082799"/>
            <wp:docPr id="7" name="Picture 7"/>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5.4: Coronal Loop Hydrodynamic Cooling Verification (Spitzer &amp; Radiative Losses vs. Learned PINN Parameter).</w:t>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200" w:after="80"/>
        <w:jc w:val="center"/>
      </w:pPr>
      <w:r>
        <w:drawing>
          <wp:inline xmlns:a="http://schemas.openxmlformats.org/drawingml/2006/main" xmlns:pic="http://schemas.openxmlformats.org/drawingml/2006/picture">
            <wp:extent cx="5029200" cy="2082799"/>
            <wp:docPr id="8" name="Picture 8"/>
            <wp:cNvGraphicFramePr>
              <a:graphicFrameLocks noChangeAspect="1"/>
            </wp:cNvGraphicFramePr>
            <a:graphic>
              <a:graphicData uri="http://schemas.openxmlformats.org/drawingml/2006/picture">
                <pic:pic>
                  <pic:nvPicPr>
                    <pic:cNvPr id="0" name="figure13_verification_and_conformal.png"/>
                    <pic:cNvPicPr/>
                  </pic:nvPicPr>
                  <pic:blipFill>
                    <a:blip r:embed="rId16"/>
                    <a:stretch>
                      <a:fillRect/>
                    </a:stretch>
                  </pic:blipFill>
                  <pic:spPr>
                    <a:xfrm>
                      <a:off x="0" y="0"/>
                      <a:ext cx="5029200" cy="2082799"/>
                    </a:xfrm>
                    <a:prstGeom prst="rect"/>
                  </pic:spPr>
                </pic:pic>
              </a:graphicData>
            </a:graphic>
          </wp:inline>
        </w:drawing>
      </w:r>
    </w:p>
    <w:p>
      <w:pPr>
        <w:spacing w:before="40" w:after="20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200" w:after="80"/>
        <w:jc w:val="center"/>
      </w:pPr>
      <w:r>
        <w:drawing>
          <wp:inline xmlns:a="http://schemas.openxmlformats.org/drawingml/2006/main" xmlns:pic="http://schemas.openxmlformats.org/drawingml/2006/picture">
            <wp:extent cx="5029200" cy="2270420"/>
            <wp:docPr id="9" name="Picture 9"/>
            <wp:cNvGraphicFramePr>
              <a:graphicFrameLocks noChangeAspect="1"/>
            </wp:cNvGraphicFramePr>
            <a:graphic>
              <a:graphicData uri="http://schemas.openxmlformats.org/drawingml/2006/picture">
                <pic:pic>
                  <pic:nvPicPr>
                    <pic:cNvPr id="0" name="figure14_xai_and_economic_value.png"/>
                    <pic:cNvPicPr/>
                  </pic:nvPicPr>
                  <pic:blipFill>
                    <a:blip r:embed="rId17"/>
                    <a:stretch>
                      <a:fillRect/>
                    </a:stretch>
                  </pic:blipFill>
                  <pic:spPr>
                    <a:xfrm>
                      <a:off x="0" y="0"/>
                      <a:ext cx="5029200" cy="2270420"/>
                    </a:xfrm>
                    <a:prstGeom prst="rect"/>
                  </pic:spPr>
                </pic:pic>
              </a:graphicData>
            </a:graphic>
          </wp:inline>
        </w:drawing>
      </w:r>
    </w:p>
    <w:p>
      <w:pPr>
        <w:spacing w:before="40" w:after="20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A. RESEARCH PAPER / MODEL CHART</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200" w:after="80"/>
        <w:jc w:val="center"/>
      </w:pPr>
      <w:r>
        <w:drawing>
          <wp:inline xmlns:a="http://schemas.openxmlformats.org/drawingml/2006/main" xmlns:pic="http://schemas.openxmlformats.org/drawingml/2006/picture">
            <wp:extent cx="5486400" cy="4470257"/>
            <wp:docPr id="10" name="Picture 10"/>
            <wp:cNvGraphicFramePr>
              <a:graphicFrameLocks noChangeAspect="1"/>
            </wp:cNvGraphicFramePr>
            <a:graphic>
              <a:graphicData uri="http://schemas.openxmlformats.org/drawingml/2006/picture">
                <pic:pic>
                  <pic:nvPicPr>
                    <pic:cNvPr id="0" name="solar_flare_project_model_chart.png"/>
                    <pic:cNvPicPr/>
                  </pic:nvPicPr>
                  <pic:blipFill>
                    <a:blip r:embed="rId18"/>
                    <a:stretch>
                      <a:fillRect/>
                    </a:stretch>
                  </pic:blipFill>
                  <pic:spPr>
                    <a:xfrm>
                      <a:off x="0" y="0"/>
                      <a:ext cx="5486400" cy="4470257"/>
                    </a:xfrm>
                    <a:prstGeom prst="rect"/>
                  </pic:spPr>
                </pic:pic>
              </a:graphicData>
            </a:graphic>
          </wp:inline>
        </w:drawing>
      </w:r>
    </w:p>
    <w:p>
      <w:pPr>
        <w:spacing w:before="40" w:after="20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B. 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4608"/>
        <w:gridCol w:w="4032"/>
      </w:tblGrid>
      <w:tr>
        <w:trPr>
          <w:cantSplit/>
        </w:trPr>
        <w:tc>
          <w:tcPr>
            <w:tcW w:type="dxa" w:w="4500"/>
            <w:tcMar>
              <w:top w:w="24" w:type="dxa"/>
              <w:bottom w:w="24" w:type="dxa"/>
              <w:left w:w="40" w:type="dxa"/>
              <w:right w:w="40" w:type="dxa"/>
            </w:tcMar>
          </w:tcPr>
          <w:p>
            <w:pPr>
              <w:spacing w:before="40" w:after="40"/>
            </w:pPr>
            <w:r>
              <w:rPr>
                <w:rFonts w:ascii="Arial" w:hAnsi="Arial"/>
                <w:b/>
                <w:sz w:val="19"/>
              </w:rPr>
              <w:t>Candidate Name</w:t>
            </w:r>
          </w:p>
        </w:tc>
        <w:tc>
          <w:tcPr>
            <w:tcW w:type="dxa" w:w="4500"/>
            <w:tcMar>
              <w:top w:w="24" w:type="dxa"/>
              <w:bottom w:w="24" w:type="dxa"/>
              <w:left w:w="40" w:type="dxa"/>
              <w:right w:w="40" w:type="dxa"/>
            </w:tcMar>
          </w:tcPr>
          <w:p>
            <w:pPr>
              <w:spacing w:before="40" w:after="40"/>
            </w:pPr>
            <w:r>
              <w:rPr>
                <w:rFonts w:ascii="Arial" w:hAnsi="Arial"/>
                <w:sz w:val="19"/>
              </w:rPr>
              <w:t>NAVEENKUMAR S</w:t>
            </w:r>
          </w:p>
        </w:tc>
      </w:tr>
      <w:tr>
        <w:trPr>
          <w:cantSplit/>
        </w:trPr>
        <w:tc>
          <w:tcPr>
            <w:tcW w:type="dxa" w:w="4500"/>
            <w:tcMar>
              <w:top w:w="24" w:type="dxa"/>
              <w:bottom w:w="24" w:type="dxa"/>
              <w:left w:w="40" w:type="dxa"/>
              <w:right w:w="40" w:type="dxa"/>
            </w:tcMar>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tcPr>
          <w:p>
            <w:pPr>
              <w:spacing w:before="40" w:after="40"/>
            </w:pPr>
            <w:r>
              <w:rPr>
                <w:rFonts w:ascii="Arial" w:hAnsi="Arial"/>
                <w:b/>
                <w:sz w:val="19"/>
              </w:rPr>
              <w:t>Overall Similarity Index</w:t>
            </w:r>
          </w:p>
        </w:tc>
        <w:tc>
          <w:tcPr>
            <w:tcW w:type="dxa" w:w="4500"/>
            <w:tcMar>
              <w:top w:w="24" w:type="dxa"/>
              <w:bottom w:w="24" w:type="dxa"/>
              <w:left w:w="40" w:type="dxa"/>
              <w:right w:w="40" w:type="dxa"/>
            </w:tcMar>
          </w:tcPr>
          <w:p>
            <w:pPr>
              <w:spacing w:before="40" w:after="40"/>
            </w:pPr>
            <w:r>
              <w:rPr>
                <w:rFonts w:ascii="Arial" w:hAnsi="Arial"/>
                <w:sz w:val="19"/>
              </w:rPr>
              <w:t>4% (Excluding References &amp; Code)</w:t>
            </w:r>
          </w:p>
        </w:tc>
      </w:tr>
      <w:tr>
        <w:trPr>
          <w:cantSplit/>
        </w:trPr>
        <w:tc>
          <w:tcPr>
            <w:tcW w:type="dxa" w:w="4500"/>
            <w:tcMar>
              <w:top w:w="24" w:type="dxa"/>
              <w:bottom w:w="24" w:type="dxa"/>
              <w:left w:w="40" w:type="dxa"/>
              <w:right w:w="40" w:type="dxa"/>
            </w:tcMar>
          </w:tcPr>
          <w:p>
            <w:pPr>
              <w:spacing w:before="40" w:after="40"/>
            </w:pPr>
            <w:r>
              <w:rPr>
                <w:rFonts w:ascii="Arial" w:hAnsi="Arial"/>
                <w:b/>
                <w:sz w:val="19"/>
              </w:rPr>
              <w:t>Institutional Quality Status</w:t>
            </w:r>
          </w:p>
        </w:tc>
        <w:tc>
          <w:tcPr>
            <w:tcW w:type="dxa" w:w="4500"/>
            <w:tcMar>
              <w:top w:w="24" w:type="dxa"/>
              <w:bottom w:w="24" w:type="dxa"/>
              <w:left w:w="40" w:type="dxa"/>
              <w:right w:w="40" w:type="dxa"/>
            </w:tcMar>
            <w:shd w:fill="F0FDF4"/>
          </w:tcPr>
          <w:p>
            <w:pPr>
              <w:spacing w:before="40" w:after="40"/>
            </w:pPr>
            <w:r>
              <w:rPr>
                <w:rFonts w:ascii="Arial" w:hAnsi="Arial"/>
                <w:b/>
                <w:sz w:val="19"/>
              </w:rPr>
              <w:t>ACCEPTED - Level 0 (UGC Compliant)</w:t>
            </w:r>
          </w:p>
        </w:tc>
      </w:tr>
    </w:tbl>
    <w:p>
      <w:pPr>
        <w:spacing w:before="200" w:after="200" w:line="300" w:lineRule="auto"/>
        <w:jc w:val="both"/>
      </w:pPr>
      <w:r>
        <w:rPr>
          <w:rFonts w:ascii="Arial" w:hAnsi="Arial"/>
          <w:b w:val="0"/>
          <w:i w:val="0"/>
          <w:color w:val="000000"/>
          <w:sz w:val="22"/>
        </w:rPr>
      </w:r>
    </w:p>
    <w:p>
      <w:pPr>
        <w:keepNext/>
        <w:spacing w:before="240" w:after="80"/>
        <w:jc w:val="left"/>
      </w:pPr>
      <w:r>
        <w:rPr>
          <w:rFonts w:ascii="Arial" w:hAnsi="Arial"/>
          <w:b/>
          <w:color w:val="000000"/>
          <w:sz w:val="24"/>
        </w:rPr>
        <w:t>C. 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52" w:lineRule="auto" w:after="160"/>
      </w:pPr>
      <w:r>
        <w:rPr>
          <w:rFonts w:ascii="Consolas" w:hAnsi="Consolas"/>
          <w:sz w:val="17"/>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