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drawing>
          <wp:inline xmlns:a="http://schemas.openxmlformats.org/drawingml/2006/main" xmlns:pic="http://schemas.openxmlformats.org/drawingml/2006/picture">
            <wp:extent cx="4389120" cy="1656377"/>
            <wp:docPr id="1" name="Picture 1"/>
            <wp:cNvGraphicFramePr>
              <a:graphicFrameLocks noChangeAspect="1"/>
            </wp:cNvGraphicFramePr>
            <a:graphic>
              <a:graphicData uri="http://schemas.openxmlformats.org/drawingml/2006/picture">
                <pic:pic>
                  <pic:nvPicPr>
                    <pic:cNvPr id="0" name="image2.jpeg"/>
                    <pic:cNvPicPr/>
                  </pic:nvPicPr>
                  <pic:blipFill>
                    <a:blip r:embed="rId9"/>
                    <a:stretch>
                      <a:fillRect/>
                    </a:stretch>
                  </pic:blipFill>
                  <pic:spPr>
                    <a:xfrm>
                      <a:off x="0" y="0"/>
                      <a:ext cx="4389120" cy="1656377"/>
                    </a:xfrm>
                    <a:prstGeom prst="rect"/>
                  </pic:spPr>
                </pic:pic>
              </a:graphicData>
            </a:graphic>
          </wp:inline>
        </w:drawing>
      </w:r>
    </w:p>
    <w:p>
      <w:pPr>
        <w:spacing w:before="120" w:after="160" w:line="288" w:lineRule="auto"/>
        <w:jc w:val="center"/>
      </w:pPr>
      <w:r>
        <w:rPr>
          <w:rFonts w:ascii="Times New Roman" w:hAnsi="Times New Roman"/>
          <w:b/>
          <w:i w:val="0"/>
          <w:color w:val="000000"/>
          <w:sz w:val="27"/>
        </w:rPr>
        <w:t>PHYSICS-INFORMED SPATIO-TEMPORAL GRAPH TRANSFORMER FOR MULTI-INSTRUMENT SOLAR FLARE FORECASTING USING ADITYA-L1 TELEMETRY</w:t>
      </w:r>
    </w:p>
    <w:p>
      <w:pPr>
        <w:spacing w:before="80" w:after="280" w:line="288" w:lineRule="auto"/>
        <w:jc w:val="center"/>
      </w:pPr>
      <w:r>
        <w:rPr>
          <w:rFonts w:ascii="Times New Roman" w:hAnsi="Times New Roman"/>
          <w:b/>
          <w:i w:val="0"/>
          <w:color w:val="000000"/>
          <w:sz w:val="22"/>
        </w:rPr>
        <w:t>PROBLEM AND PROJECT-BASED LEARNING (P2BL) REPORT</w:t>
      </w:r>
    </w:p>
    <w:p>
      <w:pPr>
        <w:spacing w:before="40" w:after="40" w:line="288" w:lineRule="auto"/>
        <w:jc w:val="center"/>
      </w:pPr>
      <w:r>
        <w:rPr>
          <w:rFonts w:ascii="Times New Roman" w:hAnsi="Times New Roman"/>
          <w:b w:val="0"/>
          <w:i/>
          <w:color w:val="000000"/>
          <w:sz w:val="21"/>
        </w:rPr>
        <w:t>Submitted by</w:t>
      </w:r>
    </w:p>
    <w:p>
      <w:pPr>
        <w:spacing w:before="40" w:after="280" w:line="288" w:lineRule="auto"/>
        <w:jc w:val="center"/>
      </w:pPr>
      <w:r>
        <w:rPr>
          <w:rFonts w:ascii="Times New Roman" w:hAnsi="Times New Roman"/>
          <w:b/>
          <w:i w:val="0"/>
          <w:color w:val="000000"/>
          <w:sz w:val="24"/>
        </w:rPr>
        <w:t>NAVEENKUMAR S</w:t>
      </w:r>
    </w:p>
    <w:p>
      <w:pPr>
        <w:spacing w:before="40" w:after="320" w:line="300" w:lineRule="auto"/>
        <w:jc w:val="center"/>
      </w:pPr>
      <w:r>
        <w:rPr>
          <w:rFonts w:ascii="Times New Roman" w:hAnsi="Times New Roman"/>
          <w:b/>
          <w:i w:val="0"/>
          <w:color w:val="000000"/>
          <w:sz w:val="22"/>
        </w:rPr>
        <w:t>in partial fulfillment for the award of the degree of</w:t>
        <w:br/>
        <w:t>BACHELOR OF TECHNOLOGY</w:t>
        <w:br/>
        <w:t>in</w:t>
        <w:br/>
        <w:t>ARTIFICIAL INTELLIGENCE AND MACHINE LEARNING</w:t>
      </w:r>
    </w:p>
    <w:p>
      <w:pPr>
        <w:spacing w:before="80" w:after="280"/>
        <w:jc w:val="center"/>
      </w:pPr>
      <w:r>
        <w:drawing>
          <wp:inline xmlns:a="http://schemas.openxmlformats.org/drawingml/2006/main" xmlns:pic="http://schemas.openxmlformats.org/drawingml/2006/picture">
            <wp:extent cx="1097280" cy="310288"/>
            <wp:docPr id="2" name="Picture 2"/>
            <wp:cNvGraphicFramePr>
              <a:graphicFrameLocks noChangeAspect="1"/>
            </wp:cNvGraphicFramePr>
            <a:graphic>
              <a:graphicData uri="http://schemas.openxmlformats.org/drawingml/2006/picture">
                <pic:pic>
                  <pic:nvPicPr>
                    <pic:cNvPr id="0" name="image1.jpeg"/>
                    <pic:cNvPicPr/>
                  </pic:nvPicPr>
                  <pic:blipFill>
                    <a:blip r:embed="rId10"/>
                    <a:stretch>
                      <a:fillRect/>
                    </a:stretch>
                  </pic:blipFill>
                  <pic:spPr>
                    <a:xfrm>
                      <a:off x="0" y="0"/>
                      <a:ext cx="1097280" cy="310288"/>
                    </a:xfrm>
                    <a:prstGeom prst="rect"/>
                  </pic:spPr>
                </pic:pic>
              </a:graphicData>
            </a:graphic>
          </wp:inline>
        </w:drawing>
      </w:r>
    </w:p>
    <w:p>
      <w:pPr>
        <w:spacing w:before="40" w:after="120" w:line="276" w:lineRule="auto"/>
        <w:jc w:val="center"/>
      </w:pPr>
      <w:r>
        <w:rPr>
          <w:rFonts w:ascii="Times New Roman" w:hAnsi="Times New Roman"/>
          <w:b/>
          <w:i w:val="0"/>
          <w:color w:val="000000"/>
          <w:sz w:val="20"/>
        </w:rPr>
        <w:t>DEPARTMENT OF COMPUTER SCIENCE AND ENGINEERING</w:t>
        <w:br/>
        <w:t>SCHOOL OF COMPUTING</w:t>
        <w:br/>
        <w:t>SATHYABAMA</w:t>
        <w:br/>
        <w:t>INSTITUTE OF SCIENCE AND TECHNOLOGY</w:t>
        <w:br/>
        <w:t>(DEEMED TO BE UNIVERSITY)</w:t>
        <w:br/>
        <w:t>Accredited with Grade 'A++' by NAAC | Approved by AICTE</w:t>
        <w:br/>
        <w:t>JEPPIAAR NAGAR, RAJIV GANDHI SALAI, CHENNAI - 600 119</w:t>
      </w:r>
    </w:p>
    <w:p>
      <w:pPr>
        <w:spacing w:before="120" w:after="0" w:line="288" w:lineRule="auto"/>
        <w:jc w:val="center"/>
      </w:pPr>
      <w:r>
        <w:rPr>
          <w:rFonts w:ascii="Times New Roman" w:hAnsi="Times New Roman"/>
          <w:b/>
          <w:i w:val="0"/>
          <w:color w:val="000000"/>
          <w:sz w:val="22"/>
        </w:rPr>
        <w:t>OCTOBER 2026</w:t>
      </w:r>
    </w:p>
    <w:p>
      <w:r>
        <w:br w:type="page"/>
      </w:r>
    </w:p>
    <w:p>
      <w:pPr>
        <w:spacing w:before="0" w:after="80" w:line="276" w:lineRule="auto"/>
        <w:jc w:val="center"/>
      </w:pPr>
      <w:r>
        <w:rPr>
          <w:rFonts w:ascii="Times New Roman" w:hAnsi="Times New Roman"/>
          <w:b/>
          <w:i w:val="0"/>
          <w:color w:val="000000"/>
          <w:sz w:val="23"/>
        </w:rPr>
        <w:t>SATHYABAMA</w:t>
        <w:br/>
        <w:t>INSTITUTE OF SCIENCE AND TECHNOLOGY</w:t>
        <w:br/>
        <w:t>(DEEMED TO BE UNIVERSITY)</w:t>
      </w:r>
    </w:p>
    <w:p>
      <w:pPr>
        <w:spacing w:before="0" w:after="160" w:line="264" w:lineRule="auto"/>
        <w:jc w:val="center"/>
      </w:pPr>
      <w:r>
        <w:rPr>
          <w:rFonts w:ascii="Times New Roman" w:hAnsi="Times New Roman"/>
          <w:b w:val="0"/>
          <w:i w:val="0"/>
          <w:color w:val="000000"/>
          <w:sz w:val="19"/>
        </w:rPr>
        <w:t>Accredited with 'A++' Grade by NAAC | Approved by AICTE</w:t>
        <w:br/>
        <w:t>Jeppiaar Nagar, Rajiv Gandhi Salai, Chennai - 600 119</w:t>
        <w:br/>
        <w:t>www.sathyabama.ac.in</w:t>
      </w:r>
    </w:p>
    <w:p>
      <w:pPr>
        <w:spacing w:before="80" w:after="200" w:line="288" w:lineRule="auto"/>
        <w:jc w:val="center"/>
      </w:pPr>
      <w:r>
        <w:rPr>
          <w:rFonts w:ascii="Times New Roman" w:hAnsi="Times New Roman"/>
          <w:b/>
          <w:i w:val="0"/>
          <w:color w:val="000000"/>
          <w:sz w:val="23"/>
        </w:rPr>
        <w:t>DEPARTMENT OF COMPUTER SCIENCE AND ENGINEERING</w:t>
      </w:r>
    </w:p>
    <w:p>
      <w:pPr>
        <w:spacing w:before="80" w:after="280" w:line="288" w:lineRule="auto"/>
        <w:jc w:val="center"/>
      </w:pPr>
      <w:r>
        <w:rPr>
          <w:rFonts w:ascii="Times New Roman" w:hAnsi="Times New Roman"/>
          <w:b/>
          <w:i w:val="0"/>
          <w:color w:val="000000"/>
          <w:sz w:val="26"/>
        </w:rPr>
        <w:t>BONAFIDE CERTIFICATE</w:t>
      </w:r>
    </w:p>
    <w:p>
      <w:pPr>
        <w:spacing w:before="80" w:after="520" w:line="324" w:lineRule="auto"/>
        <w:jc w:val="both"/>
      </w:pPr>
      <w:r>
        <w:rPr>
          <w:rFonts w:ascii="Times New Roman" w:hAnsi="Times New Roman"/>
          <w:b w:val="0"/>
          <w:i w:val="0"/>
          <w:color w:val="000000"/>
          <w:sz w:val="22"/>
        </w:rPr>
        <w:t>This is to certify that this Project Report is the bonafide work of NAVEENKUMAR S who carried out the Problem and Project-Based Learning (P2BL) project entitled "PHYSICS-INFORMED SPATIO-TEMPORAL GRAPH TRANSFORMER FOR MULTI-INSTRUMENT SOLAR FLARE FORECASTING USING ADITYA-L1 TELEMETRY" under my supervision from June 2026 to October 2026.</w:t>
      </w:r>
    </w:p>
    <w:tbl>
      <w:tblPr>
        <w:tblW w:type="auto" w:w="0"/>
        <w:jc w:val="center"/>
        <w:tblLook w:firstColumn="1" w:firstRow="1" w:lastColumn="0" w:lastRow="0" w:noHBand="0" w:noVBand="1" w:val="04A0"/>
      </w:tblPr>
      <w:tblGrid>
        <w:gridCol w:w="4608"/>
        <w:gridCol w:w="4320"/>
      </w:tblGrid>
      <w:tr>
        <w:trPr>
          <w:cantSplit/>
        </w:trPr>
        <w:tc>
          <w:tcPr>
            <w:tcW w:type="dxa" w:w="4500"/>
            <w:tcMar>
              <w:top w:w="40" w:type="dxa"/>
              <w:bottom w:w="40" w:type="dxa"/>
              <w:left w:w="40" w:type="dxa"/>
              <w:right w:w="40" w:type="dxa"/>
            </w:tcMar>
          </w:tcPr>
          <w:p>
            <w:pPr>
              <w:spacing w:line="288" w:lineRule="auto"/>
            </w:pPr>
            <w:r>
              <w:rPr>
                <w:b/>
              </w:rPr>
              <w:t>Internal Guide</w:t>
              <w:br/>
            </w:r>
            <w:r>
              <w:t>Ms. K. Bavani, M.E.</w:t>
              <w:br/>
              <w:t>Assistant Professor</w:t>
              <w:br/>
              <w:t>Department of CSE</w:t>
            </w:r>
          </w:p>
        </w:tc>
        <w:tc>
          <w:tcPr>
            <w:tcW w:type="dxa" w:w="4500"/>
            <w:tcMar>
              <w:top w:w="40" w:type="dxa"/>
              <w:bottom w:w="40" w:type="dxa"/>
              <w:left w:w="40" w:type="dxa"/>
              <w:right w:w="40" w:type="dxa"/>
            </w:tcMar>
          </w:tcPr>
          <w:p>
            <w:pPr>
              <w:spacing w:line="288" w:lineRule="auto"/>
              <w:jc w:val="right"/>
            </w:pPr>
            <w:r>
              <w:rPr>
                <w:b/>
              </w:rPr>
              <w:t>Head of the Department</w:t>
              <w:br/>
            </w:r>
            <w:r>
              <w:t>Dr. Senduru Srinivasulu, M.E., Ph.D.</w:t>
              <w:br/>
              <w:t>Professor &amp; Head</w:t>
              <w:br/>
              <w:t>Department of CSE</w:t>
            </w:r>
          </w:p>
        </w:tc>
      </w:tr>
      <w:tr>
        <w:trPr>
          <w:cantSplit/>
        </w:trPr>
        <w:tc>
          <w:tcPr>
            <w:tcW w:type="dxa" w:w="4500"/>
          </w:tcPr>
          <w:p/>
        </w:tc>
        <w:tc>
          <w:tcPr>
            <w:tcW w:type="dxa" w:w="4500"/>
          </w:tcPr>
          <w:p/>
        </w:tc>
      </w:tr>
    </w:tbl>
    <w:p>
      <w:pPr>
        <w:spacing w:before="720" w:after="480" w:line="288" w:lineRule="auto"/>
        <w:jc w:val="left"/>
      </w:pPr>
      <w:r>
        <w:rPr>
          <w:rFonts w:ascii="Times New Roman" w:hAnsi="Times New Roman"/>
          <w:b w:val="0"/>
          <w:i/>
          <w:color w:val="000000"/>
          <w:sz w:val="21"/>
        </w:rPr>
        <w:t>Submitted for P2BL Examination held on ____________________</w:t>
      </w:r>
    </w:p>
    <w:tbl>
      <w:tblPr>
        <w:tblW w:type="auto" w:w="0"/>
        <w:jc w:val="center"/>
        <w:tblLook w:firstColumn="1" w:firstRow="1" w:lastColumn="0" w:lastRow="0" w:noHBand="0" w:noVBand="1" w:val="04A0"/>
      </w:tblPr>
      <w:tblGrid>
        <w:gridCol w:w="4608"/>
        <w:gridCol w:w="4320"/>
      </w:tblGrid>
      <w:tr>
        <w:trPr>
          <w:cantSplit/>
        </w:trPr>
        <w:tc>
          <w:tcPr>
            <w:tcW w:type="dxa" w:w="4500"/>
          </w:tcPr>
          <w:p>
            <w:r>
              <w:rPr>
                <w:b/>
              </w:rPr>
              <w:t>Internal Examiner</w:t>
            </w:r>
          </w:p>
        </w:tc>
        <w:tc>
          <w:tcPr>
            <w:tcW w:type="dxa" w:w="4500"/>
          </w:tcPr>
          <w:p>
            <w:pPr>
              <w:jc w:val="right"/>
            </w:pPr>
            <w:r>
              <w:rPr>
                <w:b/>
              </w:rPr>
              <w:t>External Examiner</w:t>
            </w:r>
          </w:p>
        </w:tc>
      </w:tr>
    </w:tbl>
    <w:p>
      <w:r>
        <w:br w:type="page"/>
      </w:r>
    </w:p>
    <w:p>
      <w:pPr>
        <w:spacing w:before="200" w:after="360" w:line="288" w:lineRule="auto"/>
        <w:jc w:val="center"/>
      </w:pPr>
      <w:r>
        <w:rPr>
          <w:rFonts w:ascii="Times New Roman" w:hAnsi="Times New Roman"/>
          <w:b/>
          <w:i w:val="0"/>
          <w:color w:val="000000"/>
          <w:sz w:val="26"/>
        </w:rPr>
        <w:t>DECLARATION</w:t>
      </w:r>
    </w:p>
    <w:p>
      <w:pPr>
        <w:spacing w:before="80" w:after="280" w:line="324" w:lineRule="auto"/>
        <w:jc w:val="both"/>
      </w:pPr>
      <w:r>
        <w:rPr>
          <w:rFonts w:ascii="Times New Roman" w:hAnsi="Times New Roman"/>
          <w:b w:val="0"/>
          <w:i w:val="0"/>
          <w:color w:val="000000"/>
          <w:sz w:val="22"/>
        </w:rPr>
        <w:t>I, NAVEENKUMAR S, hereby declare that the Project Report entitled "PHYSICS-INFORMED SPATIO-TEMPORAL GRAPH TRANSFORMER FOR MULTI-INSTRUMENT SOLAR FLARE FORECASTING USING ADITYA-L1 TELEMETRY" done by me under the guidance of Ms. K. Bavani, M.E., Department of Computer Science and Engineering, Sathyabama Institute of Science and Technology, is submitted in partial fulfilment of the requirements for the award of Bachelor of Technology degree in Artificial Intelligence and Machine Learning.</w:t>
      </w:r>
    </w:p>
    <w:p>
      <w:pPr>
        <w:spacing w:before="80" w:after="720" w:line="324" w:lineRule="auto"/>
        <w:jc w:val="both"/>
      </w:pPr>
      <w:r>
        <w:rPr>
          <w:rFonts w:ascii="Times New Roman" w:hAnsi="Times New Roman"/>
          <w:b w:val="0"/>
          <w:i w:val="0"/>
          <w:color w:val="000000"/>
          <w:sz w:val="22"/>
        </w:rPr>
        <w:t>I further declare that this report has not been submitted previously in part or in full for the award of any diploma, degree, or fellowship in this university or any other institution of higher education.</w:t>
      </w:r>
    </w:p>
    <w:tbl>
      <w:tblPr>
        <w:tblW w:type="auto" w:w="0"/>
        <w:jc w:val="center"/>
        <w:tblLook w:firstColumn="1" w:firstRow="1" w:lastColumn="0" w:lastRow="0" w:noHBand="0" w:noVBand="1" w:val="04A0"/>
      </w:tblPr>
      <w:tblGrid>
        <w:gridCol w:w="4608"/>
        <w:gridCol w:w="4320"/>
      </w:tblGrid>
      <w:tr>
        <w:trPr>
          <w:cantSplit/>
        </w:trPr>
        <w:tc>
          <w:tcPr>
            <w:tcW w:type="dxa" w:w="4500"/>
          </w:tcPr>
          <w:p>
            <w:pPr>
              <w:spacing w:line="300" w:lineRule="auto"/>
            </w:pPr>
            <w:r>
              <w:rPr>
                <w:b/>
              </w:rPr>
              <w:t>DATE: 30-10-2026</w:t>
              <w:br/>
              <w:t>PLACE: Chennai</w:t>
            </w:r>
          </w:p>
        </w:tc>
        <w:tc>
          <w:tcPr>
            <w:tcW w:type="dxa" w:w="4500"/>
          </w:tcPr>
          <w:p>
            <w:pPr>
              <w:spacing w:line="300" w:lineRule="auto"/>
              <w:jc w:val="right"/>
            </w:pPr>
            <w:r>
              <w:rPr>
                <w:b/>
              </w:rPr>
              <w:t>NAVEENKUMAR S</w:t>
              <w:br/>
              <w:t>Signature of the Candidate</w:t>
            </w:r>
          </w:p>
        </w:tc>
      </w:tr>
    </w:tbl>
    <w:p>
      <w:r>
        <w:br w:type="page"/>
      </w:r>
    </w:p>
    <w:p>
      <w:pPr>
        <w:spacing w:before="200" w:after="320" w:line="288" w:lineRule="auto"/>
        <w:jc w:val="center"/>
      </w:pPr>
      <w:r>
        <w:rPr>
          <w:rFonts w:ascii="Times New Roman" w:hAnsi="Times New Roman"/>
          <w:b/>
          <w:i w:val="0"/>
          <w:color w:val="000000"/>
          <w:sz w:val="26"/>
        </w:rPr>
        <w:t>ACKNOWLEDGEMENT</w:t>
      </w:r>
    </w:p>
    <w:p>
      <w:pPr>
        <w:spacing w:before="80" w:after="200" w:line="300" w:lineRule="auto"/>
        <w:jc w:val="both"/>
      </w:pPr>
      <w:r>
        <w:rPr>
          <w:rFonts w:ascii="Times New Roman" w:hAnsi="Times New Roman"/>
          <w:b w:val="0"/>
          <w:i w:val="0"/>
          <w:color w:val="000000"/>
          <w:sz w:val="22"/>
        </w:rPr>
        <w:t>I am pleased to acknowledge my sincere thanks to the Board of Management of SATHYABAMA INSTITUTE OF SCIENCE AND TECHNOLOGY for their kind encouragement and institutional infrastructure in carrying out this project and completing it successfully. I am deeply grateful to them.</w:t>
      </w:r>
    </w:p>
    <w:p>
      <w:pPr>
        <w:spacing w:before="80" w:after="200" w:line="300" w:lineRule="auto"/>
        <w:jc w:val="both"/>
      </w:pPr>
      <w:r>
        <w:rPr>
          <w:rFonts w:ascii="Times New Roman" w:hAnsi="Times New Roman"/>
          <w:b w:val="0"/>
          <w:i w:val="0"/>
          <w:color w:val="000000"/>
          <w:sz w:val="22"/>
        </w:rPr>
        <w:t>I convey my sincere gratitude to Dr. Marie Johnson, President, Dr. Mariazeena Johnson, Chancellor, and the Vice-Presidents for providing state-of-the-art computational facilities and an inspiring academic atmosphere.</w:t>
      </w:r>
    </w:p>
    <w:p>
      <w:pPr>
        <w:spacing w:before="80" w:after="200" w:line="300" w:lineRule="auto"/>
        <w:jc w:val="both"/>
      </w:pPr>
      <w:r>
        <w:rPr>
          <w:rFonts w:ascii="Times New Roman" w:hAnsi="Times New Roman"/>
          <w:b w:val="0"/>
          <w:i w:val="0"/>
          <w:color w:val="000000"/>
          <w:sz w:val="22"/>
        </w:rPr>
        <w:t>I express my profound gratitude to Dr. L. Lakshmanan, M.E., Ph.D., Dean, School of Computing, and Dr. Senduru Srinivasulu, M.E., Ph.D., Head, Department of Computer Science and Engineering, for their constant support, constructive suggestions, and academic leadership throughout my degree programme.</w:t>
      </w:r>
    </w:p>
    <w:p>
      <w:pPr>
        <w:spacing w:before="80" w:after="200" w:line="300" w:lineRule="auto"/>
        <w:jc w:val="both"/>
      </w:pPr>
      <w:r>
        <w:rPr>
          <w:rFonts w:ascii="Times New Roman" w:hAnsi="Times New Roman"/>
          <w:b w:val="0"/>
          <w:i w:val="0"/>
          <w:color w:val="000000"/>
          <w:sz w:val="22"/>
        </w:rPr>
        <w:t>I express my heartfelt gratitude to my Project Guide, Ms. K. Bavani, M.E., Assistant Professor, Department of Computer Science and Engineering, for her invaluable guidance, patient mentoring, rigorous technical critique, and continuous encouragement during the research and development phases of this project.</w:t>
      </w:r>
    </w:p>
    <w:p>
      <w:pPr>
        <w:spacing w:before="80" w:after="480" w:line="300" w:lineRule="auto"/>
        <w:jc w:val="both"/>
      </w:pPr>
      <w:r>
        <w:rPr>
          <w:rFonts w:ascii="Times New Roman" w:hAnsi="Times New Roman"/>
          <w:b w:val="0"/>
          <w:i w:val="0"/>
          <w:color w:val="000000"/>
          <w:sz w:val="22"/>
        </w:rPr>
        <w:t>I also thank the Indian Space Science Data Centre (ISSDC/ISRO) and the URSC payload teams for making the Aditya-L1 Level-2 science telemetry publicly accessible via the PRADAN portal. Finally, I extend my warmest appreciation to my parents, family, and peers for their unconditional support and encouragement.</w:t>
      </w:r>
    </w:p>
    <w:p>
      <w:pPr>
        <w:spacing w:before="160"/>
        <w:jc w:val="right"/>
      </w:pPr>
      <w:r>
        <w:rPr>
          <w:rFonts w:ascii="Times New Roman" w:hAnsi="Times New Roman"/>
          <w:b/>
          <w:sz w:val="22"/>
        </w:rPr>
        <w:t>NAVEENKUMAR S</w:t>
        <w:br/>
        <w:t>Candidate</w:t>
      </w:r>
    </w:p>
    <w:p>
      <w:r>
        <w:br w:type="page"/>
      </w:r>
    </w:p>
    <w:p>
      <w:pPr>
        <w:spacing w:before="200" w:after="320" w:line="288" w:lineRule="auto"/>
        <w:jc w:val="center"/>
      </w:pPr>
      <w:r>
        <w:rPr>
          <w:rFonts w:ascii="Times New Roman" w:hAnsi="Times New Roman"/>
          <w:b/>
          <w:i w:val="0"/>
          <w:color w:val="000000"/>
          <w:sz w:val="26"/>
        </w:rPr>
        <w:t>ABSTRACT</w:t>
      </w:r>
    </w:p>
    <w:p>
      <w:pPr>
        <w:spacing w:before="80" w:after="200" w:line="300" w:lineRule="auto"/>
        <w:jc w:val="both"/>
      </w:pPr>
      <w:r>
        <w:rPr>
          <w:rFonts w:ascii="Times New Roman" w:hAnsi="Times New Roman"/>
          <w:b w:val="0"/>
          <w:i w:val="0"/>
          <w:color w:val="000000"/>
          <w:sz w:val="22"/>
        </w:rPr>
        <w:t>Solar flares and accompanying coronal mass ejections represent the most energetic explosive phenomena in the solar system, posing severe hazards to Earth-orbiting satellites, global navigation satellite systems (GNSS), civil aviation, and ground power grids. However, operational solar flare forecasting faces two severe machine learning challenges: extreme rare-event class imbalance (exceeding 1:300 for major X-class flares) and complex non-linear cross-sensor temporal lags between hard and soft X-ray emissions. Purely statistical black-box models frequently suffer catastrophic collapse to all-quiet predictions and produce uncalibrated, overconfident false alarms that violate plasma physics.</w:t>
      </w:r>
    </w:p>
    <w:p>
      <w:pPr>
        <w:spacing w:before="80" w:after="200" w:line="300" w:lineRule="auto"/>
        <w:jc w:val="both"/>
      </w:pPr>
      <w:r>
        <w:rPr>
          <w:rFonts w:ascii="Times New Roman" w:hAnsi="Times New Roman"/>
          <w:b w:val="0"/>
          <w:i w:val="0"/>
          <w:color w:val="000000"/>
          <w:sz w:val="22"/>
        </w:rPr>
        <w:t>This project presents a novel Physics-Informed Spatio-Temporal Graph Transformer (PINN ST-GT) designed for multi-instrument solar flare forecasting using open in-orbit telemetry from India's maiden solar mission, Aditya-L1, operating in a halo orbit around the Sun-Earth Lagrangian Point 1 (L1). The system constructs a dynamic 5-node complete spectral graph interconnecting Solar Low Energy X-ray Spectrometer (SoLEXS, 1-15 keV) and High Energy L1 Orbiting X-ray Spectrometer (HEL1OS, 10-150 keV) passbands. Dual multi-head attention heads model spatial cross-band electromagnetic coupling alongside causal historical dependencies across sliding observation windows.</w:t>
      </w:r>
    </w:p>
    <w:p>
      <w:pPr>
        <w:spacing w:before="80" w:after="280" w:line="300" w:lineRule="auto"/>
        <w:jc w:val="both"/>
      </w:pPr>
      <w:r>
        <w:rPr>
          <w:rFonts w:ascii="Times New Roman" w:hAnsi="Times New Roman"/>
          <w:b w:val="0"/>
          <w:i w:val="0"/>
          <w:color w:val="000000"/>
          <w:sz w:val="22"/>
        </w:rPr>
        <w:t>To enforce physical realism, the network embeds the classical Neupert effect differential equation directly into the backpropagation loss function as a differentiable Physics-Informed Neural Network (PINN) inductive bias with positive-clamped learnable injection and coronal cooling parameters, dynamically balanced with class-balanced focal loss using GradNorm. Furthermore, Mondrian conformal prediction calibration is applied to deliver distribution-free, finite-sample valid 95% coverage prediction sets. Evaluated on major in-orbit solar flare events, the proposed PINN ST-GT achieves a True Skill Statistic (TSS) of 0.842, a Heidke Skill Score (HSS) of 0.768, and a Precision-Recall AUC of 0.835, delivering an operational lead time of 1.83 hours and reducing false alarms by 42.8% compared to standard Transformer baselines while achieving maximum economic decision utility V(C/L) = 0.724.</w:t>
      </w:r>
    </w:p>
    <w:p>
      <w:pPr>
        <w:spacing w:before="120" w:after="0" w:line="288" w:lineRule="auto"/>
      </w:pPr>
      <w:r>
        <w:rPr>
          <w:rFonts w:ascii="Times New Roman" w:hAnsi="Times New Roman"/>
          <w:b/>
          <w:sz w:val="21"/>
        </w:rPr>
        <w:t xml:space="preserve">Keywords: </w:t>
      </w:r>
      <w:r>
        <w:rPr>
          <w:rFonts w:ascii="Times New Roman" w:hAnsi="Times New Roman"/>
          <w:sz w:val="21"/>
        </w:rPr>
        <w:t>Artificial Intelligence, Deep Learning, Graph Neural Networks, Spatio-Temporal Transformer, Physics-Informed Neural Networks (PINN), Neupert Effect, Rare-Event Imbalance, Conformal Prediction, Aditya-L1.</w:t>
      </w:r>
    </w:p>
    <w:p>
      <w:r>
        <w:br w:type="page"/>
      </w:r>
    </w:p>
    <w:p>
      <w:pPr>
        <w:spacing w:before="120" w:after="200" w:line="288" w:lineRule="auto"/>
        <w:jc w:val="center"/>
      </w:pPr>
      <w:r>
        <w:rPr>
          <w:rFonts w:ascii="Times New Roman" w:hAnsi="Times New Roman"/>
          <w:b/>
          <w:i w:val="0"/>
          <w:color w:val="000000"/>
          <w:sz w:val="26"/>
        </w:rPr>
        <w:t>TABLE OF CONTENTS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one"/>
          <w:right w:val="none"/>
          <w:insideV w:val="none"/>
        </w:tblBorders>
      </w:tblPr>
      <w:tblGrid>
        <w:gridCol w:w="1296"/>
        <w:gridCol w:w="6480"/>
        <w:gridCol w:w="1008"/>
      </w:tblGrid>
      <w:tr>
        <w:trPr>
          <w:cantSplit/>
        </w:trPr>
        <w:tc>
          <w:tcPr>
            <w:tcW w:type="dxa" w:w="3000"/>
            <w:tcMar>
              <w:top w:w="24" w:type="dxa"/>
              <w:bottom w:w="24" w:type="dxa"/>
              <w:left w:w="40" w:type="dxa"/>
              <w:right w:w="40" w:type="dxa"/>
            </w:tcMar>
            <w:shd w:fill="EAECEE"/>
          </w:tcPr>
          <w:p>
            <w:pPr>
              <w:spacing w:before="20" w:after="20" w:line="240" w:lineRule="auto"/>
              <w:jc w:val="left"/>
            </w:pPr>
            <w:r>
              <w:rPr>
                <w:b/>
                <w:sz w:val="18"/>
              </w:rPr>
              <w:t>CHAPTER</w:t>
            </w:r>
          </w:p>
        </w:tc>
        <w:tc>
          <w:tcPr>
            <w:tcW w:type="dxa" w:w="3000"/>
            <w:tcMar>
              <w:top w:w="24" w:type="dxa"/>
              <w:bottom w:w="24" w:type="dxa"/>
              <w:left w:w="40" w:type="dxa"/>
              <w:right w:w="40" w:type="dxa"/>
            </w:tcMar>
            <w:shd w:fill="EAECEE"/>
          </w:tcPr>
          <w:p>
            <w:pPr>
              <w:spacing w:before="20" w:after="20" w:line="240" w:lineRule="auto"/>
              <w:jc w:val="left"/>
            </w:pPr>
            <w:r>
              <w:rPr>
                <w:b/>
                <w:sz w:val="18"/>
              </w:rPr>
              <w:t>TITLE</w:t>
            </w:r>
          </w:p>
        </w:tc>
        <w:tc>
          <w:tcPr>
            <w:tcW w:type="dxa" w:w="3000"/>
            <w:tcMar>
              <w:top w:w="24" w:type="dxa"/>
              <w:bottom w:w="24" w:type="dxa"/>
              <w:left w:w="40" w:type="dxa"/>
              <w:right w:w="40" w:type="dxa"/>
            </w:tcMar>
            <w:shd w:fill="EAECEE"/>
          </w:tcPr>
          <w:p>
            <w:pPr>
              <w:spacing w:before="20" w:after="20" w:line="240" w:lineRule="auto"/>
              <w:jc w:val="right"/>
            </w:pPr>
            <w:r>
              <w:rPr>
                <w:b/>
                <w:sz w:val="18"/>
              </w:rPr>
              <w:t>PAGE</w:t>
            </w:r>
          </w:p>
        </w:tc>
      </w:tr>
      <w:tr>
        <w:trPr>
          <w:cantSplit/>
        </w:trPr>
        <w:tc>
          <w:tcPr>
            <w:tcW w:type="dxa" w:w="3000"/>
            <w:tcMar>
              <w:top w:w="14" w:type="dxa"/>
              <w:bottom w:w="14" w:type="dxa"/>
              <w:left w:w="40" w:type="dxa"/>
              <w:right w:w="40" w:type="dxa"/>
            </w:tcMar>
          </w:tcPr>
          <w:p>
            <w:pPr>
              <w:spacing w:before="20" w:after="20" w:line="240" w:lineRule="auto"/>
              <w:jc w:val="left"/>
            </w:pPr>
            <w:r>
              <w:rPr>
                <w:sz w:val="17"/>
              </w:rPr>
            </w:r>
          </w:p>
        </w:tc>
        <w:tc>
          <w:tcPr>
            <w:tcW w:type="dxa" w:w="3000"/>
            <w:tcMar>
              <w:top w:w="14" w:type="dxa"/>
              <w:bottom w:w="14" w:type="dxa"/>
              <w:left w:w="40" w:type="dxa"/>
              <w:right w:w="40" w:type="dxa"/>
            </w:tcMar>
          </w:tcPr>
          <w:p>
            <w:pPr>
              <w:spacing w:before="20" w:after="20" w:line="240" w:lineRule="auto"/>
              <w:jc w:val="left"/>
            </w:pPr>
            <w:r>
              <w:rPr>
                <w:b/>
                <w:sz w:val="17"/>
              </w:rPr>
              <w:t>ABSTRACT</w:t>
            </w:r>
          </w:p>
        </w:tc>
        <w:tc>
          <w:tcPr>
            <w:tcW w:type="dxa" w:w="3000"/>
            <w:tcMar>
              <w:top w:w="14" w:type="dxa"/>
              <w:bottom w:w="14" w:type="dxa"/>
              <w:left w:w="40" w:type="dxa"/>
              <w:right w:w="40" w:type="dxa"/>
            </w:tcMar>
          </w:tcPr>
          <w:p>
            <w:pPr>
              <w:spacing w:before="20" w:after="20" w:line="240" w:lineRule="auto"/>
              <w:jc w:val="right"/>
            </w:pPr>
            <w:r>
              <w:rPr>
                <w:sz w:val="17"/>
              </w:rPr>
              <w:t>v</w:t>
            </w:r>
          </w:p>
        </w:tc>
      </w:tr>
      <w:tr>
        <w:trPr>
          <w:cantSplit/>
        </w:trPr>
        <w:tc>
          <w:tcPr>
            <w:tcW w:type="dxa" w:w="3000"/>
            <w:tcMar>
              <w:top w:w="14" w:type="dxa"/>
              <w:bottom w:w="14" w:type="dxa"/>
              <w:left w:w="40" w:type="dxa"/>
              <w:right w:w="40" w:type="dxa"/>
            </w:tcMar>
          </w:tcPr>
          <w:p>
            <w:pPr>
              <w:spacing w:before="20" w:after="20" w:line="240" w:lineRule="auto"/>
              <w:jc w:val="left"/>
            </w:pPr>
            <w:r>
              <w:rPr>
                <w:b/>
                <w:sz w:val="17"/>
              </w:rPr>
              <w:t>1</w:t>
            </w:r>
          </w:p>
        </w:tc>
        <w:tc>
          <w:tcPr>
            <w:tcW w:type="dxa" w:w="3000"/>
            <w:tcMar>
              <w:top w:w="14" w:type="dxa"/>
              <w:bottom w:w="14" w:type="dxa"/>
              <w:left w:w="40" w:type="dxa"/>
              <w:right w:w="40" w:type="dxa"/>
            </w:tcMar>
          </w:tcPr>
          <w:p>
            <w:pPr>
              <w:spacing w:before="20" w:after="20" w:line="240" w:lineRule="auto"/>
              <w:jc w:val="left"/>
            </w:pPr>
            <w:r>
              <w:rPr>
                <w:b/>
                <w:sz w:val="17"/>
              </w:rPr>
              <w:t>INTRODUCTION</w:t>
            </w:r>
          </w:p>
        </w:tc>
        <w:tc>
          <w:tcPr>
            <w:tcW w:type="dxa" w:w="3000"/>
            <w:tcMar>
              <w:top w:w="14" w:type="dxa"/>
              <w:bottom w:w="14" w:type="dxa"/>
              <w:left w:w="40" w:type="dxa"/>
              <w:right w:w="40" w:type="dxa"/>
            </w:tcMar>
          </w:tcPr>
          <w:p>
            <w:pPr>
              <w:spacing w:before="20" w:after="20" w:line="240" w:lineRule="auto"/>
              <w:jc w:val="right"/>
            </w:pPr>
            <w:r>
              <w:rPr>
                <w:b/>
                <w:sz w:val="17"/>
              </w:rPr>
              <w:t>8</w:t>
            </w:r>
          </w:p>
        </w:tc>
      </w:tr>
      <w:tr>
        <w:trPr>
          <w:cantSplit/>
        </w:trPr>
        <w:tc>
          <w:tcPr>
            <w:tcW w:type="dxa" w:w="3000"/>
            <w:tcMar>
              <w:top w:w="14" w:type="dxa"/>
              <w:bottom w:w="14" w:type="dxa"/>
              <w:left w:w="40" w:type="dxa"/>
              <w:right w:w="40" w:type="dxa"/>
            </w:tcMar>
          </w:tcPr>
          <w:p>
            <w:pPr>
              <w:spacing w:before="20" w:after="20" w:line="240" w:lineRule="auto"/>
              <w:jc w:val="left"/>
            </w:pPr>
            <w:r>
              <w:rPr>
                <w:sz w:val="17"/>
              </w:rPr>
            </w:r>
          </w:p>
        </w:tc>
        <w:tc>
          <w:tcPr>
            <w:tcW w:type="dxa" w:w="3000"/>
            <w:tcMar>
              <w:top w:w="14" w:type="dxa"/>
              <w:bottom w:w="14" w:type="dxa"/>
              <w:left w:w="40" w:type="dxa"/>
              <w:right w:w="40" w:type="dxa"/>
            </w:tcMar>
          </w:tcPr>
          <w:p>
            <w:pPr>
              <w:spacing w:before="20" w:after="20" w:line="240" w:lineRule="auto"/>
              <w:jc w:val="left"/>
            </w:pPr>
            <w:r>
              <w:rPr>
                <w:sz w:val="17"/>
              </w:rPr>
              <w:t>1.1 Astrophysical Background and Solar Flares</w:t>
            </w:r>
          </w:p>
        </w:tc>
        <w:tc>
          <w:tcPr>
            <w:tcW w:type="dxa" w:w="3000"/>
            <w:tcMar>
              <w:top w:w="14" w:type="dxa"/>
              <w:bottom w:w="14" w:type="dxa"/>
              <w:left w:w="40" w:type="dxa"/>
              <w:right w:w="40" w:type="dxa"/>
            </w:tcMar>
          </w:tcPr>
          <w:p>
            <w:pPr>
              <w:spacing w:before="20" w:after="20" w:line="240" w:lineRule="auto"/>
              <w:jc w:val="right"/>
            </w:pPr>
            <w:r>
              <w:rPr>
                <w:sz w:val="17"/>
              </w:rPr>
              <w:t>8</w:t>
            </w:r>
          </w:p>
        </w:tc>
      </w:tr>
      <w:tr>
        <w:trPr>
          <w:cantSplit/>
        </w:trPr>
        <w:tc>
          <w:tcPr>
            <w:tcW w:type="dxa" w:w="3000"/>
            <w:tcMar>
              <w:top w:w="14" w:type="dxa"/>
              <w:bottom w:w="14" w:type="dxa"/>
              <w:left w:w="40" w:type="dxa"/>
              <w:right w:w="40" w:type="dxa"/>
            </w:tcMar>
          </w:tcPr>
          <w:p>
            <w:pPr>
              <w:spacing w:before="20" w:after="20" w:line="240" w:lineRule="auto"/>
              <w:jc w:val="left"/>
            </w:pPr>
            <w:r>
              <w:rPr>
                <w:sz w:val="17"/>
              </w:rPr>
            </w:r>
          </w:p>
        </w:tc>
        <w:tc>
          <w:tcPr>
            <w:tcW w:type="dxa" w:w="3000"/>
            <w:tcMar>
              <w:top w:w="14" w:type="dxa"/>
              <w:bottom w:w="14" w:type="dxa"/>
              <w:left w:w="40" w:type="dxa"/>
              <w:right w:w="40" w:type="dxa"/>
            </w:tcMar>
          </w:tcPr>
          <w:p>
            <w:pPr>
              <w:spacing w:before="20" w:after="20" w:line="240" w:lineRule="auto"/>
              <w:jc w:val="left"/>
            </w:pPr>
            <w:r>
              <w:rPr>
                <w:sz w:val="17"/>
              </w:rPr>
              <w:t>1.2 Space Weather Hazards to Critical Infrastructure</w:t>
            </w:r>
          </w:p>
        </w:tc>
        <w:tc>
          <w:tcPr>
            <w:tcW w:type="dxa" w:w="3000"/>
            <w:tcMar>
              <w:top w:w="14" w:type="dxa"/>
              <w:bottom w:w="14" w:type="dxa"/>
              <w:left w:w="40" w:type="dxa"/>
              <w:right w:w="40" w:type="dxa"/>
            </w:tcMar>
          </w:tcPr>
          <w:p>
            <w:pPr>
              <w:spacing w:before="20" w:after="20" w:line="240" w:lineRule="auto"/>
              <w:jc w:val="right"/>
            </w:pPr>
            <w:r>
              <w:rPr>
                <w:sz w:val="17"/>
              </w:rPr>
              <w:t>8</w:t>
            </w:r>
          </w:p>
        </w:tc>
      </w:tr>
      <w:tr>
        <w:trPr>
          <w:cantSplit/>
        </w:trPr>
        <w:tc>
          <w:tcPr>
            <w:tcW w:type="dxa" w:w="3000"/>
            <w:tcMar>
              <w:top w:w="14" w:type="dxa"/>
              <w:bottom w:w="14" w:type="dxa"/>
              <w:left w:w="40" w:type="dxa"/>
              <w:right w:w="40" w:type="dxa"/>
            </w:tcMar>
          </w:tcPr>
          <w:p>
            <w:pPr>
              <w:spacing w:before="20" w:after="20" w:line="240" w:lineRule="auto"/>
              <w:jc w:val="left"/>
            </w:pPr>
            <w:r>
              <w:rPr>
                <w:sz w:val="17"/>
              </w:rPr>
            </w:r>
          </w:p>
        </w:tc>
        <w:tc>
          <w:tcPr>
            <w:tcW w:type="dxa" w:w="3000"/>
            <w:tcMar>
              <w:top w:w="14" w:type="dxa"/>
              <w:bottom w:w="14" w:type="dxa"/>
              <w:left w:w="40" w:type="dxa"/>
              <w:right w:w="40" w:type="dxa"/>
            </w:tcMar>
          </w:tcPr>
          <w:p>
            <w:pPr>
              <w:spacing w:before="20" w:after="20" w:line="240" w:lineRule="auto"/>
              <w:jc w:val="left"/>
            </w:pPr>
            <w:r>
              <w:rPr>
                <w:sz w:val="17"/>
              </w:rPr>
              <w:t>1.3 The Aditya-L1 Space Observatory and Payloads</w:t>
            </w:r>
          </w:p>
        </w:tc>
        <w:tc>
          <w:tcPr>
            <w:tcW w:type="dxa" w:w="3000"/>
            <w:tcMar>
              <w:top w:w="14" w:type="dxa"/>
              <w:bottom w:w="14" w:type="dxa"/>
              <w:left w:w="40" w:type="dxa"/>
              <w:right w:w="40" w:type="dxa"/>
            </w:tcMar>
          </w:tcPr>
          <w:p>
            <w:pPr>
              <w:spacing w:before="20" w:after="20" w:line="240" w:lineRule="auto"/>
              <w:jc w:val="right"/>
            </w:pPr>
            <w:r>
              <w:rPr>
                <w:sz w:val="17"/>
              </w:rPr>
              <w:t>8</w:t>
            </w:r>
          </w:p>
        </w:tc>
      </w:tr>
      <w:tr>
        <w:trPr>
          <w:cantSplit/>
        </w:trPr>
        <w:tc>
          <w:tcPr>
            <w:tcW w:type="dxa" w:w="3000"/>
            <w:tcMar>
              <w:top w:w="14" w:type="dxa"/>
              <w:bottom w:w="14" w:type="dxa"/>
              <w:left w:w="40" w:type="dxa"/>
              <w:right w:w="40" w:type="dxa"/>
            </w:tcMar>
          </w:tcPr>
          <w:p>
            <w:pPr>
              <w:spacing w:before="20" w:after="20" w:line="240" w:lineRule="auto"/>
              <w:jc w:val="left"/>
            </w:pPr>
            <w:r>
              <w:rPr>
                <w:sz w:val="17"/>
              </w:rPr>
            </w:r>
          </w:p>
        </w:tc>
        <w:tc>
          <w:tcPr>
            <w:tcW w:type="dxa" w:w="3000"/>
            <w:tcMar>
              <w:top w:w="14" w:type="dxa"/>
              <w:bottom w:w="14" w:type="dxa"/>
              <w:left w:w="40" w:type="dxa"/>
              <w:right w:w="40" w:type="dxa"/>
            </w:tcMar>
          </w:tcPr>
          <w:p>
            <w:pPr>
              <w:spacing w:before="20" w:after="20" w:line="240" w:lineRule="auto"/>
              <w:jc w:val="left"/>
            </w:pPr>
            <w:r>
              <w:rPr>
                <w:sz w:val="17"/>
              </w:rPr>
              <w:t>1.4 Problem Statement: Rare-Event Forecasting Dilemma in AI/ML</w:t>
            </w:r>
          </w:p>
        </w:tc>
        <w:tc>
          <w:tcPr>
            <w:tcW w:type="dxa" w:w="3000"/>
            <w:tcMar>
              <w:top w:w="14" w:type="dxa"/>
              <w:bottom w:w="14" w:type="dxa"/>
              <w:left w:w="40" w:type="dxa"/>
              <w:right w:w="40" w:type="dxa"/>
            </w:tcMar>
          </w:tcPr>
          <w:p>
            <w:pPr>
              <w:spacing w:before="20" w:after="20" w:line="240" w:lineRule="auto"/>
              <w:jc w:val="right"/>
            </w:pPr>
            <w:r>
              <w:rPr>
                <w:sz w:val="17"/>
              </w:rPr>
              <w:t>9</w:t>
            </w:r>
          </w:p>
        </w:tc>
      </w:tr>
      <w:tr>
        <w:trPr>
          <w:cantSplit/>
        </w:trPr>
        <w:tc>
          <w:tcPr>
            <w:tcW w:type="dxa" w:w="3000"/>
            <w:tcMar>
              <w:top w:w="14" w:type="dxa"/>
              <w:bottom w:w="14" w:type="dxa"/>
              <w:left w:w="40" w:type="dxa"/>
              <w:right w:w="40" w:type="dxa"/>
            </w:tcMar>
          </w:tcPr>
          <w:p>
            <w:pPr>
              <w:spacing w:before="20" w:after="20" w:line="240" w:lineRule="auto"/>
              <w:jc w:val="left"/>
            </w:pPr>
            <w:r>
              <w:rPr>
                <w:sz w:val="17"/>
              </w:rPr>
            </w:r>
          </w:p>
        </w:tc>
        <w:tc>
          <w:tcPr>
            <w:tcW w:type="dxa" w:w="3000"/>
            <w:tcMar>
              <w:top w:w="14" w:type="dxa"/>
              <w:bottom w:w="14" w:type="dxa"/>
              <w:left w:w="40" w:type="dxa"/>
              <w:right w:w="40" w:type="dxa"/>
            </w:tcMar>
          </w:tcPr>
          <w:p>
            <w:pPr>
              <w:spacing w:before="20" w:after="20" w:line="240" w:lineRule="auto"/>
              <w:jc w:val="left"/>
            </w:pPr>
            <w:r>
              <w:rPr>
                <w:sz w:val="17"/>
              </w:rPr>
              <w:t>1.5 Objectives and Machine Learning Project Scope</w:t>
            </w:r>
          </w:p>
        </w:tc>
        <w:tc>
          <w:tcPr>
            <w:tcW w:type="dxa" w:w="3000"/>
            <w:tcMar>
              <w:top w:w="14" w:type="dxa"/>
              <w:bottom w:w="14" w:type="dxa"/>
              <w:left w:w="40" w:type="dxa"/>
              <w:right w:w="40" w:type="dxa"/>
            </w:tcMar>
          </w:tcPr>
          <w:p>
            <w:pPr>
              <w:spacing w:before="20" w:after="20" w:line="240" w:lineRule="auto"/>
              <w:jc w:val="right"/>
            </w:pPr>
            <w:r>
              <w:rPr>
                <w:sz w:val="17"/>
              </w:rPr>
              <w:t>9</w:t>
            </w:r>
          </w:p>
        </w:tc>
      </w:tr>
      <w:tr>
        <w:trPr>
          <w:cantSplit/>
        </w:trPr>
        <w:tc>
          <w:tcPr>
            <w:tcW w:type="dxa" w:w="3000"/>
            <w:tcMar>
              <w:top w:w="14" w:type="dxa"/>
              <w:bottom w:w="14" w:type="dxa"/>
              <w:left w:w="40" w:type="dxa"/>
              <w:right w:w="40" w:type="dxa"/>
            </w:tcMar>
          </w:tcPr>
          <w:p>
            <w:pPr>
              <w:spacing w:before="20" w:after="20" w:line="240" w:lineRule="auto"/>
              <w:jc w:val="left"/>
            </w:pPr>
            <w:r>
              <w:rPr>
                <w:b/>
                <w:sz w:val="17"/>
              </w:rPr>
              <w:t>2</w:t>
            </w:r>
          </w:p>
        </w:tc>
        <w:tc>
          <w:tcPr>
            <w:tcW w:type="dxa" w:w="3000"/>
            <w:tcMar>
              <w:top w:w="14" w:type="dxa"/>
              <w:bottom w:w="14" w:type="dxa"/>
              <w:left w:w="40" w:type="dxa"/>
              <w:right w:w="40" w:type="dxa"/>
            </w:tcMar>
          </w:tcPr>
          <w:p>
            <w:pPr>
              <w:spacing w:before="20" w:after="20" w:line="240" w:lineRule="auto"/>
              <w:jc w:val="left"/>
            </w:pPr>
            <w:r>
              <w:rPr>
                <w:b/>
                <w:sz w:val="17"/>
              </w:rPr>
              <w:t>LITERATURE SURVEY</w:t>
            </w:r>
          </w:p>
        </w:tc>
        <w:tc>
          <w:tcPr>
            <w:tcW w:type="dxa" w:w="3000"/>
            <w:tcMar>
              <w:top w:w="14" w:type="dxa"/>
              <w:bottom w:w="14" w:type="dxa"/>
              <w:left w:w="40" w:type="dxa"/>
              <w:right w:w="40" w:type="dxa"/>
            </w:tcMar>
          </w:tcPr>
          <w:p>
            <w:pPr>
              <w:spacing w:before="20" w:after="20" w:line="240" w:lineRule="auto"/>
              <w:jc w:val="right"/>
            </w:pPr>
            <w:r>
              <w:rPr>
                <w:b/>
                <w:sz w:val="17"/>
              </w:rPr>
              <w:t>10</w:t>
            </w:r>
          </w:p>
        </w:tc>
      </w:tr>
      <w:tr>
        <w:trPr>
          <w:cantSplit/>
        </w:trPr>
        <w:tc>
          <w:tcPr>
            <w:tcW w:type="dxa" w:w="3000"/>
            <w:tcMar>
              <w:top w:w="14" w:type="dxa"/>
              <w:bottom w:w="14" w:type="dxa"/>
              <w:left w:w="40" w:type="dxa"/>
              <w:right w:w="40" w:type="dxa"/>
            </w:tcMar>
          </w:tcPr>
          <w:p>
            <w:pPr>
              <w:spacing w:before="20" w:after="20" w:line="240" w:lineRule="auto"/>
              <w:jc w:val="left"/>
            </w:pPr>
            <w:r>
              <w:rPr>
                <w:sz w:val="17"/>
              </w:rPr>
            </w:r>
          </w:p>
        </w:tc>
        <w:tc>
          <w:tcPr>
            <w:tcW w:type="dxa" w:w="3000"/>
            <w:tcMar>
              <w:top w:w="14" w:type="dxa"/>
              <w:bottom w:w="14" w:type="dxa"/>
              <w:left w:w="40" w:type="dxa"/>
              <w:right w:w="40" w:type="dxa"/>
            </w:tcMar>
          </w:tcPr>
          <w:p>
            <w:pPr>
              <w:spacing w:before="20" w:after="20" w:line="240" w:lineRule="auto"/>
              <w:jc w:val="left"/>
            </w:pPr>
            <w:r>
              <w:rPr>
                <w:sz w:val="17"/>
              </w:rPr>
              <w:t>2.1 The Neupert Effect &amp; Chromospheric Evaporation</w:t>
            </w:r>
          </w:p>
        </w:tc>
        <w:tc>
          <w:tcPr>
            <w:tcW w:type="dxa" w:w="3000"/>
            <w:tcMar>
              <w:top w:w="14" w:type="dxa"/>
              <w:bottom w:w="14" w:type="dxa"/>
              <w:left w:w="40" w:type="dxa"/>
              <w:right w:w="40" w:type="dxa"/>
            </w:tcMar>
          </w:tcPr>
          <w:p>
            <w:pPr>
              <w:spacing w:before="20" w:after="20" w:line="240" w:lineRule="auto"/>
              <w:jc w:val="right"/>
            </w:pPr>
            <w:r>
              <w:rPr>
                <w:sz w:val="17"/>
              </w:rPr>
              <w:t>10</w:t>
            </w:r>
          </w:p>
        </w:tc>
      </w:tr>
      <w:tr>
        <w:trPr>
          <w:cantSplit/>
        </w:trPr>
        <w:tc>
          <w:tcPr>
            <w:tcW w:type="dxa" w:w="3000"/>
            <w:tcMar>
              <w:top w:w="14" w:type="dxa"/>
              <w:bottom w:w="14" w:type="dxa"/>
              <w:left w:w="40" w:type="dxa"/>
              <w:right w:w="40" w:type="dxa"/>
            </w:tcMar>
          </w:tcPr>
          <w:p>
            <w:pPr>
              <w:spacing w:before="20" w:after="20" w:line="240" w:lineRule="auto"/>
              <w:jc w:val="left"/>
            </w:pPr>
            <w:r>
              <w:rPr>
                <w:sz w:val="17"/>
              </w:rPr>
            </w:r>
          </w:p>
        </w:tc>
        <w:tc>
          <w:tcPr>
            <w:tcW w:type="dxa" w:w="3000"/>
            <w:tcMar>
              <w:top w:w="14" w:type="dxa"/>
              <w:bottom w:w="14" w:type="dxa"/>
              <w:left w:w="40" w:type="dxa"/>
              <w:right w:w="40" w:type="dxa"/>
            </w:tcMar>
          </w:tcPr>
          <w:p>
            <w:pPr>
              <w:spacing w:before="20" w:after="20" w:line="240" w:lineRule="auto"/>
              <w:jc w:val="left"/>
            </w:pPr>
            <w:r>
              <w:rPr>
                <w:sz w:val="17"/>
              </w:rPr>
              <w:t>2.2 Machine Learning in Space Weather &amp; Limitations</w:t>
            </w:r>
          </w:p>
        </w:tc>
        <w:tc>
          <w:tcPr>
            <w:tcW w:type="dxa" w:w="3000"/>
            <w:tcMar>
              <w:top w:w="14" w:type="dxa"/>
              <w:bottom w:w="14" w:type="dxa"/>
              <w:left w:w="40" w:type="dxa"/>
              <w:right w:w="40" w:type="dxa"/>
            </w:tcMar>
          </w:tcPr>
          <w:p>
            <w:pPr>
              <w:spacing w:before="20" w:after="20" w:line="240" w:lineRule="auto"/>
              <w:jc w:val="right"/>
            </w:pPr>
            <w:r>
              <w:rPr>
                <w:sz w:val="17"/>
              </w:rPr>
              <w:t>10</w:t>
            </w:r>
          </w:p>
        </w:tc>
      </w:tr>
      <w:tr>
        <w:trPr>
          <w:cantSplit/>
        </w:trPr>
        <w:tc>
          <w:tcPr>
            <w:tcW w:type="dxa" w:w="3000"/>
            <w:tcMar>
              <w:top w:w="14" w:type="dxa"/>
              <w:bottom w:w="14" w:type="dxa"/>
              <w:left w:w="40" w:type="dxa"/>
              <w:right w:w="40" w:type="dxa"/>
            </w:tcMar>
          </w:tcPr>
          <w:p>
            <w:pPr>
              <w:spacing w:before="20" w:after="20" w:line="240" w:lineRule="auto"/>
              <w:jc w:val="left"/>
            </w:pPr>
            <w:r>
              <w:rPr>
                <w:sz w:val="17"/>
              </w:rPr>
            </w:r>
          </w:p>
        </w:tc>
        <w:tc>
          <w:tcPr>
            <w:tcW w:type="dxa" w:w="3000"/>
            <w:tcMar>
              <w:top w:w="14" w:type="dxa"/>
              <w:bottom w:w="14" w:type="dxa"/>
              <w:left w:w="40" w:type="dxa"/>
              <w:right w:w="40" w:type="dxa"/>
            </w:tcMar>
          </w:tcPr>
          <w:p>
            <w:pPr>
              <w:spacing w:before="20" w:after="20" w:line="240" w:lineRule="auto"/>
              <w:jc w:val="left"/>
            </w:pPr>
            <w:r>
              <w:rPr>
                <w:sz w:val="17"/>
              </w:rPr>
              <w:t>2.3 Physics-Informed Neural Networks (PINNs) in Science</w:t>
            </w:r>
          </w:p>
        </w:tc>
        <w:tc>
          <w:tcPr>
            <w:tcW w:type="dxa" w:w="3000"/>
            <w:tcMar>
              <w:top w:w="14" w:type="dxa"/>
              <w:bottom w:w="14" w:type="dxa"/>
              <w:left w:w="40" w:type="dxa"/>
              <w:right w:w="40" w:type="dxa"/>
            </w:tcMar>
          </w:tcPr>
          <w:p>
            <w:pPr>
              <w:spacing w:before="20" w:after="20" w:line="240" w:lineRule="auto"/>
              <w:jc w:val="right"/>
            </w:pPr>
            <w:r>
              <w:rPr>
                <w:sz w:val="17"/>
              </w:rPr>
              <w:t>10</w:t>
            </w:r>
          </w:p>
        </w:tc>
      </w:tr>
      <w:tr>
        <w:trPr>
          <w:cantSplit/>
        </w:trPr>
        <w:tc>
          <w:tcPr>
            <w:tcW w:type="dxa" w:w="3000"/>
            <w:tcMar>
              <w:top w:w="14" w:type="dxa"/>
              <w:bottom w:w="14" w:type="dxa"/>
              <w:left w:w="40" w:type="dxa"/>
              <w:right w:w="40" w:type="dxa"/>
            </w:tcMar>
          </w:tcPr>
          <w:p>
            <w:pPr>
              <w:spacing w:before="20" w:after="20" w:line="240" w:lineRule="auto"/>
              <w:jc w:val="left"/>
            </w:pPr>
            <w:r>
              <w:rPr>
                <w:sz w:val="17"/>
              </w:rPr>
            </w:r>
          </w:p>
        </w:tc>
        <w:tc>
          <w:tcPr>
            <w:tcW w:type="dxa" w:w="3000"/>
            <w:tcMar>
              <w:top w:w="14" w:type="dxa"/>
              <w:bottom w:w="14" w:type="dxa"/>
              <w:left w:w="40" w:type="dxa"/>
              <w:right w:w="40" w:type="dxa"/>
            </w:tcMar>
          </w:tcPr>
          <w:p>
            <w:pPr>
              <w:spacing w:before="20" w:after="20" w:line="240" w:lineRule="auto"/>
              <w:jc w:val="left"/>
            </w:pPr>
            <w:r>
              <w:rPr>
                <w:sz w:val="17"/>
              </w:rPr>
              <w:t>2.4 Conformal Prediction &amp; Economic Cost-Loss Theory</w:t>
            </w:r>
          </w:p>
        </w:tc>
        <w:tc>
          <w:tcPr>
            <w:tcW w:type="dxa" w:w="3000"/>
            <w:tcMar>
              <w:top w:w="14" w:type="dxa"/>
              <w:bottom w:w="14" w:type="dxa"/>
              <w:left w:w="40" w:type="dxa"/>
              <w:right w:w="40" w:type="dxa"/>
            </w:tcMar>
          </w:tcPr>
          <w:p>
            <w:pPr>
              <w:spacing w:before="20" w:after="20" w:line="240" w:lineRule="auto"/>
              <w:jc w:val="right"/>
            </w:pPr>
            <w:r>
              <w:rPr>
                <w:sz w:val="17"/>
              </w:rPr>
              <w:t>10</w:t>
            </w:r>
          </w:p>
        </w:tc>
      </w:tr>
      <w:tr>
        <w:trPr>
          <w:cantSplit/>
        </w:trPr>
        <w:tc>
          <w:tcPr>
            <w:tcW w:type="dxa" w:w="3000"/>
            <w:tcMar>
              <w:top w:w="14" w:type="dxa"/>
              <w:bottom w:w="14" w:type="dxa"/>
              <w:left w:w="40" w:type="dxa"/>
              <w:right w:w="40" w:type="dxa"/>
            </w:tcMar>
          </w:tcPr>
          <w:p>
            <w:pPr>
              <w:spacing w:before="20" w:after="20" w:line="240" w:lineRule="auto"/>
              <w:jc w:val="left"/>
            </w:pPr>
            <w:r>
              <w:rPr>
                <w:sz w:val="17"/>
              </w:rPr>
            </w:r>
          </w:p>
        </w:tc>
        <w:tc>
          <w:tcPr>
            <w:tcW w:type="dxa" w:w="3000"/>
            <w:tcMar>
              <w:top w:w="14" w:type="dxa"/>
              <w:bottom w:w="14" w:type="dxa"/>
              <w:left w:w="40" w:type="dxa"/>
              <w:right w:w="40" w:type="dxa"/>
            </w:tcMar>
          </w:tcPr>
          <w:p>
            <w:pPr>
              <w:spacing w:before="20" w:after="20" w:line="240" w:lineRule="auto"/>
              <w:jc w:val="left"/>
            </w:pPr>
            <w:r>
              <w:rPr>
                <w:sz w:val="17"/>
              </w:rPr>
              <w:t>2.5 Summary of Gaps in Existing Literature</w:t>
            </w:r>
          </w:p>
        </w:tc>
        <w:tc>
          <w:tcPr>
            <w:tcW w:type="dxa" w:w="3000"/>
            <w:tcMar>
              <w:top w:w="14" w:type="dxa"/>
              <w:bottom w:w="14" w:type="dxa"/>
              <w:left w:w="40" w:type="dxa"/>
              <w:right w:w="40" w:type="dxa"/>
            </w:tcMar>
          </w:tcPr>
          <w:p>
            <w:pPr>
              <w:spacing w:before="20" w:after="20" w:line="240" w:lineRule="auto"/>
              <w:jc w:val="right"/>
            </w:pPr>
            <w:r>
              <w:rPr>
                <w:sz w:val="17"/>
              </w:rPr>
              <w:t>11</w:t>
            </w:r>
          </w:p>
        </w:tc>
      </w:tr>
      <w:tr>
        <w:trPr>
          <w:cantSplit/>
        </w:trPr>
        <w:tc>
          <w:tcPr>
            <w:tcW w:type="dxa" w:w="3000"/>
            <w:tcMar>
              <w:top w:w="14" w:type="dxa"/>
              <w:bottom w:w="14" w:type="dxa"/>
              <w:left w:w="40" w:type="dxa"/>
              <w:right w:w="40" w:type="dxa"/>
            </w:tcMar>
          </w:tcPr>
          <w:p>
            <w:pPr>
              <w:spacing w:before="20" w:after="20" w:line="240" w:lineRule="auto"/>
              <w:jc w:val="left"/>
            </w:pPr>
            <w:r>
              <w:rPr>
                <w:b/>
                <w:sz w:val="17"/>
              </w:rPr>
              <w:t>3</w:t>
            </w:r>
          </w:p>
        </w:tc>
        <w:tc>
          <w:tcPr>
            <w:tcW w:type="dxa" w:w="3000"/>
            <w:tcMar>
              <w:top w:w="14" w:type="dxa"/>
              <w:bottom w:w="14" w:type="dxa"/>
              <w:left w:w="40" w:type="dxa"/>
              <w:right w:w="40" w:type="dxa"/>
            </w:tcMar>
          </w:tcPr>
          <w:p>
            <w:pPr>
              <w:spacing w:before="20" w:after="20" w:line="240" w:lineRule="auto"/>
              <w:jc w:val="left"/>
            </w:pPr>
            <w:r>
              <w:rPr>
                <w:b/>
                <w:sz w:val="17"/>
              </w:rPr>
              <w:t>REQUIREMENTS ANALYSIS &amp; ML FORMULATION</w:t>
            </w:r>
          </w:p>
        </w:tc>
        <w:tc>
          <w:tcPr>
            <w:tcW w:type="dxa" w:w="3000"/>
            <w:tcMar>
              <w:top w:w="14" w:type="dxa"/>
              <w:bottom w:w="14" w:type="dxa"/>
              <w:left w:w="40" w:type="dxa"/>
              <w:right w:w="40" w:type="dxa"/>
            </w:tcMar>
          </w:tcPr>
          <w:p>
            <w:pPr>
              <w:spacing w:before="20" w:after="20" w:line="240" w:lineRule="auto"/>
              <w:jc w:val="right"/>
            </w:pPr>
            <w:r>
              <w:rPr>
                <w:b/>
                <w:sz w:val="17"/>
              </w:rPr>
              <w:t>12</w:t>
            </w:r>
          </w:p>
        </w:tc>
      </w:tr>
      <w:tr>
        <w:trPr>
          <w:cantSplit/>
        </w:trPr>
        <w:tc>
          <w:tcPr>
            <w:tcW w:type="dxa" w:w="3000"/>
            <w:tcMar>
              <w:top w:w="14" w:type="dxa"/>
              <w:bottom w:w="14" w:type="dxa"/>
              <w:left w:w="40" w:type="dxa"/>
              <w:right w:w="40" w:type="dxa"/>
            </w:tcMar>
          </w:tcPr>
          <w:p>
            <w:pPr>
              <w:spacing w:before="20" w:after="20" w:line="240" w:lineRule="auto"/>
              <w:jc w:val="left"/>
            </w:pPr>
            <w:r>
              <w:rPr>
                <w:sz w:val="17"/>
              </w:rPr>
            </w:r>
          </w:p>
        </w:tc>
        <w:tc>
          <w:tcPr>
            <w:tcW w:type="dxa" w:w="3000"/>
            <w:tcMar>
              <w:top w:w="14" w:type="dxa"/>
              <w:bottom w:w="14" w:type="dxa"/>
              <w:left w:w="40" w:type="dxa"/>
              <w:right w:w="40" w:type="dxa"/>
            </w:tcMar>
          </w:tcPr>
          <w:p>
            <w:pPr>
              <w:spacing w:before="20" w:after="20" w:line="240" w:lineRule="auto"/>
              <w:jc w:val="left"/>
            </w:pPr>
            <w:r>
              <w:rPr>
                <w:sz w:val="17"/>
              </w:rPr>
              <w:t>3.1 Hardware and Software Environment Specifications</w:t>
            </w:r>
          </w:p>
        </w:tc>
        <w:tc>
          <w:tcPr>
            <w:tcW w:type="dxa" w:w="3000"/>
            <w:tcMar>
              <w:top w:w="14" w:type="dxa"/>
              <w:bottom w:w="14" w:type="dxa"/>
              <w:left w:w="40" w:type="dxa"/>
              <w:right w:w="40" w:type="dxa"/>
            </w:tcMar>
          </w:tcPr>
          <w:p>
            <w:pPr>
              <w:spacing w:before="20" w:after="20" w:line="240" w:lineRule="auto"/>
              <w:jc w:val="right"/>
            </w:pPr>
            <w:r>
              <w:rPr>
                <w:sz w:val="17"/>
              </w:rPr>
              <w:t>12</w:t>
            </w:r>
          </w:p>
        </w:tc>
      </w:tr>
      <w:tr>
        <w:trPr>
          <w:cantSplit/>
        </w:trPr>
        <w:tc>
          <w:tcPr>
            <w:tcW w:type="dxa" w:w="3000"/>
            <w:tcMar>
              <w:top w:w="14" w:type="dxa"/>
              <w:bottom w:w="14" w:type="dxa"/>
              <w:left w:w="40" w:type="dxa"/>
              <w:right w:w="40" w:type="dxa"/>
            </w:tcMar>
          </w:tcPr>
          <w:p>
            <w:pPr>
              <w:spacing w:before="20" w:after="20" w:line="240" w:lineRule="auto"/>
              <w:jc w:val="left"/>
            </w:pPr>
            <w:r>
              <w:rPr>
                <w:sz w:val="17"/>
              </w:rPr>
            </w:r>
          </w:p>
        </w:tc>
        <w:tc>
          <w:tcPr>
            <w:tcW w:type="dxa" w:w="3000"/>
            <w:tcMar>
              <w:top w:w="14" w:type="dxa"/>
              <w:bottom w:w="14" w:type="dxa"/>
              <w:left w:w="40" w:type="dxa"/>
              <w:right w:w="40" w:type="dxa"/>
            </w:tcMar>
          </w:tcPr>
          <w:p>
            <w:pPr>
              <w:spacing w:before="20" w:after="20" w:line="240" w:lineRule="auto"/>
              <w:jc w:val="left"/>
            </w:pPr>
            <w:r>
              <w:rPr>
                <w:sz w:val="17"/>
              </w:rPr>
              <w:t>3.2 Telemetry Ingestion Pipeline (ISSDC/PRADAN &amp; NOAA)</w:t>
            </w:r>
          </w:p>
        </w:tc>
        <w:tc>
          <w:tcPr>
            <w:tcW w:type="dxa" w:w="3000"/>
            <w:tcMar>
              <w:top w:w="14" w:type="dxa"/>
              <w:bottom w:w="14" w:type="dxa"/>
              <w:left w:w="40" w:type="dxa"/>
              <w:right w:w="40" w:type="dxa"/>
            </w:tcMar>
          </w:tcPr>
          <w:p>
            <w:pPr>
              <w:spacing w:before="20" w:after="20" w:line="240" w:lineRule="auto"/>
              <w:jc w:val="right"/>
            </w:pPr>
            <w:r>
              <w:rPr>
                <w:sz w:val="17"/>
              </w:rPr>
              <w:t>12</w:t>
            </w:r>
          </w:p>
        </w:tc>
      </w:tr>
      <w:tr>
        <w:trPr>
          <w:cantSplit/>
        </w:trPr>
        <w:tc>
          <w:tcPr>
            <w:tcW w:type="dxa" w:w="3000"/>
            <w:tcMar>
              <w:top w:w="14" w:type="dxa"/>
              <w:bottom w:w="14" w:type="dxa"/>
              <w:left w:w="40" w:type="dxa"/>
              <w:right w:w="40" w:type="dxa"/>
            </w:tcMar>
          </w:tcPr>
          <w:p>
            <w:pPr>
              <w:spacing w:before="20" w:after="20" w:line="240" w:lineRule="auto"/>
              <w:jc w:val="left"/>
            </w:pPr>
            <w:r>
              <w:rPr>
                <w:sz w:val="17"/>
              </w:rPr>
            </w:r>
          </w:p>
        </w:tc>
        <w:tc>
          <w:tcPr>
            <w:tcW w:type="dxa" w:w="3000"/>
            <w:tcMar>
              <w:top w:w="14" w:type="dxa"/>
              <w:bottom w:w="14" w:type="dxa"/>
              <w:left w:w="40" w:type="dxa"/>
              <w:right w:w="40" w:type="dxa"/>
            </w:tcMar>
          </w:tcPr>
          <w:p>
            <w:pPr>
              <w:spacing w:before="20" w:after="20" w:line="240" w:lineRule="auto"/>
              <w:jc w:val="left"/>
            </w:pPr>
            <w:r>
              <w:rPr>
                <w:sz w:val="17"/>
              </w:rPr>
              <w:t>3.3 Data Quality Assurance Protocols (Gates F5.1 to F5.7)</w:t>
            </w:r>
          </w:p>
        </w:tc>
        <w:tc>
          <w:tcPr>
            <w:tcW w:type="dxa" w:w="3000"/>
            <w:tcMar>
              <w:top w:w="14" w:type="dxa"/>
              <w:bottom w:w="14" w:type="dxa"/>
              <w:left w:w="40" w:type="dxa"/>
              <w:right w:w="40" w:type="dxa"/>
            </w:tcMar>
          </w:tcPr>
          <w:p>
            <w:pPr>
              <w:spacing w:before="20" w:after="20" w:line="240" w:lineRule="auto"/>
              <w:jc w:val="right"/>
            </w:pPr>
            <w:r>
              <w:rPr>
                <w:sz w:val="17"/>
              </w:rPr>
              <w:t>12</w:t>
            </w:r>
          </w:p>
        </w:tc>
      </w:tr>
      <w:tr>
        <w:trPr>
          <w:cantSplit/>
        </w:trPr>
        <w:tc>
          <w:tcPr>
            <w:tcW w:type="dxa" w:w="3000"/>
            <w:tcMar>
              <w:top w:w="14" w:type="dxa"/>
              <w:bottom w:w="14" w:type="dxa"/>
              <w:left w:w="40" w:type="dxa"/>
              <w:right w:w="40" w:type="dxa"/>
            </w:tcMar>
          </w:tcPr>
          <w:p>
            <w:pPr>
              <w:spacing w:before="20" w:after="20" w:line="240" w:lineRule="auto"/>
              <w:jc w:val="left"/>
            </w:pPr>
            <w:r>
              <w:rPr>
                <w:sz w:val="17"/>
              </w:rPr>
            </w:r>
          </w:p>
        </w:tc>
        <w:tc>
          <w:tcPr>
            <w:tcW w:type="dxa" w:w="3000"/>
            <w:tcMar>
              <w:top w:w="14" w:type="dxa"/>
              <w:bottom w:w="14" w:type="dxa"/>
              <w:left w:w="40" w:type="dxa"/>
              <w:right w:w="40" w:type="dxa"/>
            </w:tcMar>
          </w:tcPr>
          <w:p>
            <w:pPr>
              <w:spacing w:before="20" w:after="20" w:line="240" w:lineRule="auto"/>
              <w:jc w:val="left"/>
            </w:pPr>
            <w:r>
              <w:rPr>
                <w:sz w:val="17"/>
              </w:rPr>
              <w:t>3.4 ML Evaluation Metrics and Space Weather Verification</w:t>
            </w:r>
          </w:p>
        </w:tc>
        <w:tc>
          <w:tcPr>
            <w:tcW w:type="dxa" w:w="3000"/>
            <w:tcMar>
              <w:top w:w="14" w:type="dxa"/>
              <w:bottom w:w="14" w:type="dxa"/>
              <w:left w:w="40" w:type="dxa"/>
              <w:right w:w="40" w:type="dxa"/>
            </w:tcMar>
          </w:tcPr>
          <w:p>
            <w:pPr>
              <w:spacing w:before="20" w:after="20" w:line="240" w:lineRule="auto"/>
              <w:jc w:val="right"/>
            </w:pPr>
            <w:r>
              <w:rPr>
                <w:sz w:val="17"/>
              </w:rPr>
              <w:t>12</w:t>
            </w:r>
          </w:p>
        </w:tc>
      </w:tr>
      <w:tr>
        <w:trPr>
          <w:cantSplit/>
        </w:trPr>
        <w:tc>
          <w:tcPr>
            <w:tcW w:type="dxa" w:w="3000"/>
            <w:tcMar>
              <w:top w:w="14" w:type="dxa"/>
              <w:bottom w:w="14" w:type="dxa"/>
              <w:left w:w="40" w:type="dxa"/>
              <w:right w:w="40" w:type="dxa"/>
            </w:tcMar>
          </w:tcPr>
          <w:p>
            <w:pPr>
              <w:spacing w:before="20" w:after="20" w:line="240" w:lineRule="auto"/>
              <w:jc w:val="left"/>
            </w:pPr>
            <w:r>
              <w:rPr>
                <w:b/>
                <w:sz w:val="17"/>
              </w:rPr>
              <w:t>4</w:t>
            </w:r>
          </w:p>
        </w:tc>
        <w:tc>
          <w:tcPr>
            <w:tcW w:type="dxa" w:w="3000"/>
            <w:tcMar>
              <w:top w:w="14" w:type="dxa"/>
              <w:bottom w:w="14" w:type="dxa"/>
              <w:left w:w="40" w:type="dxa"/>
              <w:right w:w="40" w:type="dxa"/>
            </w:tcMar>
          </w:tcPr>
          <w:p>
            <w:pPr>
              <w:spacing w:before="20" w:after="20" w:line="240" w:lineRule="auto"/>
              <w:jc w:val="left"/>
            </w:pPr>
            <w:r>
              <w:rPr>
                <w:b/>
                <w:sz w:val="17"/>
              </w:rPr>
              <w:t>DESIGN DESCRIPTION OF PROPOSED AI/ML SYSTEM</w:t>
            </w:r>
          </w:p>
        </w:tc>
        <w:tc>
          <w:tcPr>
            <w:tcW w:type="dxa" w:w="3000"/>
            <w:tcMar>
              <w:top w:w="14" w:type="dxa"/>
              <w:bottom w:w="14" w:type="dxa"/>
              <w:left w:w="40" w:type="dxa"/>
              <w:right w:w="40" w:type="dxa"/>
            </w:tcMar>
          </w:tcPr>
          <w:p>
            <w:pPr>
              <w:spacing w:before="20" w:after="20" w:line="240" w:lineRule="auto"/>
              <w:jc w:val="right"/>
            </w:pPr>
            <w:r>
              <w:rPr>
                <w:b/>
                <w:sz w:val="17"/>
              </w:rPr>
              <w:t>14</w:t>
            </w:r>
          </w:p>
        </w:tc>
      </w:tr>
      <w:tr>
        <w:trPr>
          <w:cantSplit/>
        </w:trPr>
        <w:tc>
          <w:tcPr>
            <w:tcW w:type="dxa" w:w="3000"/>
            <w:tcMar>
              <w:top w:w="14" w:type="dxa"/>
              <w:bottom w:w="14" w:type="dxa"/>
              <w:left w:w="40" w:type="dxa"/>
              <w:right w:w="40" w:type="dxa"/>
            </w:tcMar>
          </w:tcPr>
          <w:p>
            <w:pPr>
              <w:spacing w:before="20" w:after="20" w:line="240" w:lineRule="auto"/>
              <w:jc w:val="left"/>
            </w:pPr>
            <w:r>
              <w:rPr>
                <w:sz w:val="17"/>
              </w:rPr>
            </w:r>
          </w:p>
        </w:tc>
        <w:tc>
          <w:tcPr>
            <w:tcW w:type="dxa" w:w="3000"/>
            <w:tcMar>
              <w:top w:w="14" w:type="dxa"/>
              <w:bottom w:w="14" w:type="dxa"/>
              <w:left w:w="40" w:type="dxa"/>
              <w:right w:w="40" w:type="dxa"/>
            </w:tcMar>
          </w:tcPr>
          <w:p>
            <w:pPr>
              <w:spacing w:before="20" w:after="20" w:line="240" w:lineRule="auto"/>
              <w:jc w:val="left"/>
            </w:pPr>
            <w:r>
              <w:rPr>
                <w:sz w:val="17"/>
              </w:rPr>
              <w:t>4.1 End-to-End Deep Learning Architecture</w:t>
            </w:r>
          </w:p>
        </w:tc>
        <w:tc>
          <w:tcPr>
            <w:tcW w:type="dxa" w:w="3000"/>
            <w:tcMar>
              <w:top w:w="14" w:type="dxa"/>
              <w:bottom w:w="14" w:type="dxa"/>
              <w:left w:w="40" w:type="dxa"/>
              <w:right w:w="40" w:type="dxa"/>
            </w:tcMar>
          </w:tcPr>
          <w:p>
            <w:pPr>
              <w:spacing w:before="20" w:after="20" w:line="240" w:lineRule="auto"/>
              <w:jc w:val="right"/>
            </w:pPr>
            <w:r>
              <w:rPr>
                <w:sz w:val="17"/>
              </w:rPr>
              <w:t>14</w:t>
            </w:r>
          </w:p>
        </w:tc>
      </w:tr>
      <w:tr>
        <w:trPr>
          <w:cantSplit/>
        </w:trPr>
        <w:tc>
          <w:tcPr>
            <w:tcW w:type="dxa" w:w="3000"/>
            <w:tcMar>
              <w:top w:w="14" w:type="dxa"/>
              <w:bottom w:w="14" w:type="dxa"/>
              <w:left w:w="40" w:type="dxa"/>
              <w:right w:w="40" w:type="dxa"/>
            </w:tcMar>
          </w:tcPr>
          <w:p>
            <w:pPr>
              <w:spacing w:before="20" w:after="20" w:line="240" w:lineRule="auto"/>
              <w:jc w:val="left"/>
            </w:pPr>
            <w:r>
              <w:rPr>
                <w:sz w:val="17"/>
              </w:rPr>
            </w:r>
          </w:p>
        </w:tc>
        <w:tc>
          <w:tcPr>
            <w:tcW w:type="dxa" w:w="3000"/>
            <w:tcMar>
              <w:top w:w="14" w:type="dxa"/>
              <w:bottom w:w="14" w:type="dxa"/>
              <w:left w:w="40" w:type="dxa"/>
              <w:right w:w="40" w:type="dxa"/>
            </w:tcMar>
          </w:tcPr>
          <w:p>
            <w:pPr>
              <w:spacing w:before="20" w:after="20" w:line="240" w:lineRule="auto"/>
              <w:jc w:val="left"/>
            </w:pPr>
            <w:r>
              <w:rPr>
                <w:sz w:val="17"/>
              </w:rPr>
              <w:t>4.2 Multi-Spectral 5-Node Graph Formulation</w:t>
            </w:r>
          </w:p>
        </w:tc>
        <w:tc>
          <w:tcPr>
            <w:tcW w:type="dxa" w:w="3000"/>
            <w:tcMar>
              <w:top w:w="14" w:type="dxa"/>
              <w:bottom w:w="14" w:type="dxa"/>
              <w:left w:w="40" w:type="dxa"/>
              <w:right w:w="40" w:type="dxa"/>
            </w:tcMar>
          </w:tcPr>
          <w:p>
            <w:pPr>
              <w:spacing w:before="20" w:after="20" w:line="240" w:lineRule="auto"/>
              <w:jc w:val="right"/>
            </w:pPr>
            <w:r>
              <w:rPr>
                <w:sz w:val="17"/>
              </w:rPr>
              <w:t>14</w:t>
            </w:r>
          </w:p>
        </w:tc>
      </w:tr>
      <w:tr>
        <w:trPr>
          <w:cantSplit/>
        </w:trPr>
        <w:tc>
          <w:tcPr>
            <w:tcW w:type="dxa" w:w="3000"/>
            <w:tcMar>
              <w:top w:w="14" w:type="dxa"/>
              <w:bottom w:w="14" w:type="dxa"/>
              <w:left w:w="40" w:type="dxa"/>
              <w:right w:w="40" w:type="dxa"/>
            </w:tcMar>
          </w:tcPr>
          <w:p>
            <w:pPr>
              <w:spacing w:before="20" w:after="20" w:line="240" w:lineRule="auto"/>
              <w:jc w:val="left"/>
            </w:pPr>
            <w:r>
              <w:rPr>
                <w:sz w:val="17"/>
              </w:rPr>
            </w:r>
          </w:p>
        </w:tc>
        <w:tc>
          <w:tcPr>
            <w:tcW w:type="dxa" w:w="3000"/>
            <w:tcMar>
              <w:top w:w="14" w:type="dxa"/>
              <w:bottom w:w="14" w:type="dxa"/>
              <w:left w:w="40" w:type="dxa"/>
              <w:right w:w="40" w:type="dxa"/>
            </w:tcMar>
          </w:tcPr>
          <w:p>
            <w:pPr>
              <w:spacing w:before="20" w:after="20" w:line="240" w:lineRule="auto"/>
              <w:jc w:val="left"/>
            </w:pPr>
            <w:r>
              <w:rPr>
                <w:sz w:val="17"/>
              </w:rPr>
              <w:t>4.3 Spatio-Temporal Graph Transformer Neural Network</w:t>
            </w:r>
          </w:p>
        </w:tc>
        <w:tc>
          <w:tcPr>
            <w:tcW w:type="dxa" w:w="3000"/>
            <w:tcMar>
              <w:top w:w="14" w:type="dxa"/>
              <w:bottom w:w="14" w:type="dxa"/>
              <w:left w:w="40" w:type="dxa"/>
              <w:right w:w="40" w:type="dxa"/>
            </w:tcMar>
          </w:tcPr>
          <w:p>
            <w:pPr>
              <w:spacing w:before="20" w:after="20" w:line="240" w:lineRule="auto"/>
              <w:jc w:val="right"/>
            </w:pPr>
            <w:r>
              <w:rPr>
                <w:sz w:val="17"/>
              </w:rPr>
              <w:t>14</w:t>
            </w:r>
          </w:p>
        </w:tc>
      </w:tr>
      <w:tr>
        <w:trPr>
          <w:cantSplit/>
        </w:trPr>
        <w:tc>
          <w:tcPr>
            <w:tcW w:type="dxa" w:w="3000"/>
            <w:tcMar>
              <w:top w:w="14" w:type="dxa"/>
              <w:bottom w:w="14" w:type="dxa"/>
              <w:left w:w="40" w:type="dxa"/>
              <w:right w:w="40" w:type="dxa"/>
            </w:tcMar>
          </w:tcPr>
          <w:p>
            <w:pPr>
              <w:spacing w:before="20" w:after="20" w:line="240" w:lineRule="auto"/>
              <w:jc w:val="left"/>
            </w:pPr>
            <w:r>
              <w:rPr>
                <w:sz w:val="17"/>
              </w:rPr>
            </w:r>
          </w:p>
        </w:tc>
        <w:tc>
          <w:tcPr>
            <w:tcW w:type="dxa" w:w="3000"/>
            <w:tcMar>
              <w:top w:w="14" w:type="dxa"/>
              <w:bottom w:w="14" w:type="dxa"/>
              <w:left w:w="40" w:type="dxa"/>
              <w:right w:w="40" w:type="dxa"/>
            </w:tcMar>
          </w:tcPr>
          <w:p>
            <w:pPr>
              <w:spacing w:before="20" w:after="20" w:line="240" w:lineRule="auto"/>
              <w:jc w:val="left"/>
            </w:pPr>
            <w:r>
              <w:rPr>
                <w:sz w:val="17"/>
              </w:rPr>
              <w:t>4.4 Differentiable Physics-Informed Loss (PINN Bias)</w:t>
            </w:r>
          </w:p>
        </w:tc>
        <w:tc>
          <w:tcPr>
            <w:tcW w:type="dxa" w:w="3000"/>
            <w:tcMar>
              <w:top w:w="14" w:type="dxa"/>
              <w:bottom w:w="14" w:type="dxa"/>
              <w:left w:w="40" w:type="dxa"/>
              <w:right w:w="40" w:type="dxa"/>
            </w:tcMar>
          </w:tcPr>
          <w:p>
            <w:pPr>
              <w:spacing w:before="20" w:after="20" w:line="240" w:lineRule="auto"/>
              <w:jc w:val="right"/>
            </w:pPr>
            <w:r>
              <w:rPr>
                <w:sz w:val="17"/>
              </w:rPr>
              <w:t>15</w:t>
            </w:r>
          </w:p>
        </w:tc>
      </w:tr>
      <w:tr>
        <w:trPr>
          <w:cantSplit/>
        </w:trPr>
        <w:tc>
          <w:tcPr>
            <w:tcW w:type="dxa" w:w="3000"/>
            <w:tcMar>
              <w:top w:w="14" w:type="dxa"/>
              <w:bottom w:w="14" w:type="dxa"/>
              <w:left w:w="40" w:type="dxa"/>
              <w:right w:w="40" w:type="dxa"/>
            </w:tcMar>
          </w:tcPr>
          <w:p>
            <w:pPr>
              <w:spacing w:before="20" w:after="20" w:line="240" w:lineRule="auto"/>
              <w:jc w:val="left"/>
            </w:pPr>
            <w:r>
              <w:rPr>
                <w:sz w:val="17"/>
              </w:rPr>
            </w:r>
          </w:p>
        </w:tc>
        <w:tc>
          <w:tcPr>
            <w:tcW w:type="dxa" w:w="3000"/>
            <w:tcMar>
              <w:top w:w="14" w:type="dxa"/>
              <w:bottom w:w="14" w:type="dxa"/>
              <w:left w:w="40" w:type="dxa"/>
              <w:right w:w="40" w:type="dxa"/>
            </w:tcMar>
          </w:tcPr>
          <w:p>
            <w:pPr>
              <w:spacing w:before="20" w:after="20" w:line="240" w:lineRule="auto"/>
              <w:jc w:val="left"/>
            </w:pPr>
            <w:r>
              <w:rPr>
                <w:sz w:val="17"/>
              </w:rPr>
              <w:t>4.5 Mondrian Conformal Prediction Calibration</w:t>
            </w:r>
          </w:p>
        </w:tc>
        <w:tc>
          <w:tcPr>
            <w:tcW w:type="dxa" w:w="3000"/>
            <w:tcMar>
              <w:top w:w="14" w:type="dxa"/>
              <w:bottom w:w="14" w:type="dxa"/>
              <w:left w:w="40" w:type="dxa"/>
              <w:right w:w="40" w:type="dxa"/>
            </w:tcMar>
          </w:tcPr>
          <w:p>
            <w:pPr>
              <w:spacing w:before="20" w:after="20" w:line="240" w:lineRule="auto"/>
              <w:jc w:val="right"/>
            </w:pPr>
            <w:r>
              <w:rPr>
                <w:sz w:val="17"/>
              </w:rPr>
              <w:t>15</w:t>
            </w:r>
          </w:p>
        </w:tc>
      </w:tr>
      <w:tr>
        <w:trPr>
          <w:cantSplit/>
        </w:trPr>
        <w:tc>
          <w:tcPr>
            <w:tcW w:type="dxa" w:w="3000"/>
            <w:tcMar>
              <w:top w:w="14" w:type="dxa"/>
              <w:bottom w:w="14" w:type="dxa"/>
              <w:left w:w="40" w:type="dxa"/>
              <w:right w:w="40" w:type="dxa"/>
            </w:tcMar>
          </w:tcPr>
          <w:p>
            <w:pPr>
              <w:spacing w:before="20" w:after="20" w:line="240" w:lineRule="auto"/>
              <w:jc w:val="left"/>
            </w:pPr>
            <w:r>
              <w:rPr>
                <w:sz w:val="17"/>
              </w:rPr>
            </w:r>
          </w:p>
        </w:tc>
        <w:tc>
          <w:tcPr>
            <w:tcW w:type="dxa" w:w="3000"/>
            <w:tcMar>
              <w:top w:w="14" w:type="dxa"/>
              <w:bottom w:w="14" w:type="dxa"/>
              <w:left w:w="40" w:type="dxa"/>
              <w:right w:w="40" w:type="dxa"/>
            </w:tcMar>
          </w:tcPr>
          <w:p>
            <w:pPr>
              <w:spacing w:before="20" w:after="20" w:line="240" w:lineRule="auto"/>
              <w:jc w:val="left"/>
            </w:pPr>
            <w:r>
              <w:rPr>
                <w:sz w:val="17"/>
              </w:rPr>
              <w:t>4.6 Richardson Economic Cost-Loss Decision Framework</w:t>
            </w:r>
          </w:p>
        </w:tc>
        <w:tc>
          <w:tcPr>
            <w:tcW w:type="dxa" w:w="3000"/>
            <w:tcMar>
              <w:top w:w="14" w:type="dxa"/>
              <w:bottom w:w="14" w:type="dxa"/>
              <w:left w:w="40" w:type="dxa"/>
              <w:right w:w="40" w:type="dxa"/>
            </w:tcMar>
          </w:tcPr>
          <w:p>
            <w:pPr>
              <w:spacing w:before="20" w:after="20" w:line="240" w:lineRule="auto"/>
              <w:jc w:val="right"/>
            </w:pPr>
            <w:r>
              <w:rPr>
                <w:sz w:val="17"/>
              </w:rPr>
              <w:t>15</w:t>
            </w:r>
          </w:p>
        </w:tc>
      </w:tr>
      <w:tr>
        <w:trPr>
          <w:cantSplit/>
        </w:trPr>
        <w:tc>
          <w:tcPr>
            <w:tcW w:type="dxa" w:w="3000"/>
            <w:tcMar>
              <w:top w:w="14" w:type="dxa"/>
              <w:bottom w:w="14" w:type="dxa"/>
              <w:left w:w="40" w:type="dxa"/>
              <w:right w:w="40" w:type="dxa"/>
            </w:tcMar>
          </w:tcPr>
          <w:p>
            <w:pPr>
              <w:spacing w:before="20" w:after="20" w:line="240" w:lineRule="auto"/>
              <w:jc w:val="left"/>
            </w:pPr>
            <w:r>
              <w:rPr>
                <w:sz w:val="17"/>
              </w:rPr>
            </w:r>
          </w:p>
        </w:tc>
        <w:tc>
          <w:tcPr>
            <w:tcW w:type="dxa" w:w="3000"/>
            <w:tcMar>
              <w:top w:w="14" w:type="dxa"/>
              <w:bottom w:w="14" w:type="dxa"/>
              <w:left w:w="40" w:type="dxa"/>
              <w:right w:w="40" w:type="dxa"/>
            </w:tcMar>
          </w:tcPr>
          <w:p>
            <w:pPr>
              <w:spacing w:before="20" w:after="20" w:line="240" w:lineRule="auto"/>
              <w:jc w:val="left"/>
            </w:pPr>
            <w:r>
              <w:rPr>
                <w:sz w:val="17"/>
              </w:rPr>
              <w:t>4.7 FastAPI Real-Time Streaming &amp; Operations Cockpit</w:t>
            </w:r>
          </w:p>
        </w:tc>
        <w:tc>
          <w:tcPr>
            <w:tcW w:type="dxa" w:w="3000"/>
            <w:tcMar>
              <w:top w:w="14" w:type="dxa"/>
              <w:bottom w:w="14" w:type="dxa"/>
              <w:left w:w="40" w:type="dxa"/>
              <w:right w:w="40" w:type="dxa"/>
            </w:tcMar>
          </w:tcPr>
          <w:p>
            <w:pPr>
              <w:spacing w:before="20" w:after="20" w:line="240" w:lineRule="auto"/>
              <w:jc w:val="right"/>
            </w:pPr>
            <w:r>
              <w:rPr>
                <w:sz w:val="17"/>
              </w:rPr>
              <w:t>15</w:t>
            </w:r>
          </w:p>
        </w:tc>
      </w:tr>
      <w:tr>
        <w:trPr>
          <w:cantSplit/>
        </w:trPr>
        <w:tc>
          <w:tcPr>
            <w:tcW w:type="dxa" w:w="3000"/>
            <w:tcMar>
              <w:top w:w="14" w:type="dxa"/>
              <w:bottom w:w="14" w:type="dxa"/>
              <w:left w:w="40" w:type="dxa"/>
              <w:right w:w="40" w:type="dxa"/>
            </w:tcMar>
          </w:tcPr>
          <w:p>
            <w:pPr>
              <w:spacing w:before="20" w:after="20" w:line="240" w:lineRule="auto"/>
              <w:jc w:val="left"/>
            </w:pPr>
            <w:r>
              <w:rPr>
                <w:b/>
                <w:sz w:val="17"/>
              </w:rPr>
              <w:t>5</w:t>
            </w:r>
          </w:p>
        </w:tc>
        <w:tc>
          <w:tcPr>
            <w:tcW w:type="dxa" w:w="3000"/>
            <w:tcMar>
              <w:top w:w="14" w:type="dxa"/>
              <w:bottom w:w="14" w:type="dxa"/>
              <w:left w:w="40" w:type="dxa"/>
              <w:right w:w="40" w:type="dxa"/>
            </w:tcMar>
          </w:tcPr>
          <w:p>
            <w:pPr>
              <w:spacing w:before="20" w:after="20" w:line="240" w:lineRule="auto"/>
              <w:jc w:val="left"/>
            </w:pPr>
            <w:r>
              <w:rPr>
                <w:b/>
                <w:sz w:val="17"/>
              </w:rPr>
              <w:t>RESULTS AND DISCUSSIONS (AI/ML BENCHMARKS)</w:t>
            </w:r>
          </w:p>
        </w:tc>
        <w:tc>
          <w:tcPr>
            <w:tcW w:type="dxa" w:w="3000"/>
            <w:tcMar>
              <w:top w:w="14" w:type="dxa"/>
              <w:bottom w:w="14" w:type="dxa"/>
              <w:left w:w="40" w:type="dxa"/>
              <w:right w:w="40" w:type="dxa"/>
            </w:tcMar>
          </w:tcPr>
          <w:p>
            <w:pPr>
              <w:spacing w:before="20" w:after="20" w:line="240" w:lineRule="auto"/>
              <w:jc w:val="right"/>
            </w:pPr>
            <w:r>
              <w:rPr>
                <w:b/>
                <w:sz w:val="17"/>
              </w:rPr>
              <w:t>16</w:t>
            </w:r>
          </w:p>
        </w:tc>
      </w:tr>
      <w:tr>
        <w:trPr>
          <w:cantSplit/>
        </w:trPr>
        <w:tc>
          <w:tcPr>
            <w:tcW w:type="dxa" w:w="3000"/>
            <w:tcMar>
              <w:top w:w="14" w:type="dxa"/>
              <w:bottom w:w="14" w:type="dxa"/>
              <w:left w:w="40" w:type="dxa"/>
              <w:right w:w="40" w:type="dxa"/>
            </w:tcMar>
          </w:tcPr>
          <w:p>
            <w:pPr>
              <w:spacing w:before="20" w:after="20" w:line="240" w:lineRule="auto"/>
              <w:jc w:val="left"/>
            </w:pPr>
            <w:r>
              <w:rPr>
                <w:sz w:val="17"/>
              </w:rPr>
            </w:r>
          </w:p>
        </w:tc>
        <w:tc>
          <w:tcPr>
            <w:tcW w:type="dxa" w:w="3000"/>
            <w:tcMar>
              <w:top w:w="14" w:type="dxa"/>
              <w:bottom w:w="14" w:type="dxa"/>
              <w:left w:w="40" w:type="dxa"/>
              <w:right w:w="40" w:type="dxa"/>
            </w:tcMar>
          </w:tcPr>
          <w:p>
            <w:pPr>
              <w:spacing w:before="20" w:after="20" w:line="240" w:lineRule="auto"/>
              <w:jc w:val="left"/>
            </w:pPr>
            <w:r>
              <w:rPr>
                <w:sz w:val="17"/>
              </w:rPr>
              <w:t>5.1 Empirical Verification of the Neupert Effect</w:t>
            </w:r>
          </w:p>
        </w:tc>
        <w:tc>
          <w:tcPr>
            <w:tcW w:type="dxa" w:w="3000"/>
            <w:tcMar>
              <w:top w:w="14" w:type="dxa"/>
              <w:bottom w:w="14" w:type="dxa"/>
              <w:left w:w="40" w:type="dxa"/>
              <w:right w:w="40" w:type="dxa"/>
            </w:tcMar>
          </w:tcPr>
          <w:p>
            <w:pPr>
              <w:spacing w:before="20" w:after="20" w:line="240" w:lineRule="auto"/>
              <w:jc w:val="right"/>
            </w:pPr>
            <w:r>
              <w:rPr>
                <w:sz w:val="17"/>
              </w:rPr>
              <w:t>16</w:t>
            </w:r>
          </w:p>
        </w:tc>
      </w:tr>
      <w:tr>
        <w:trPr>
          <w:cantSplit/>
        </w:trPr>
        <w:tc>
          <w:tcPr>
            <w:tcW w:type="dxa" w:w="3000"/>
            <w:tcMar>
              <w:top w:w="14" w:type="dxa"/>
              <w:bottom w:w="14" w:type="dxa"/>
              <w:left w:w="40" w:type="dxa"/>
              <w:right w:w="40" w:type="dxa"/>
            </w:tcMar>
          </w:tcPr>
          <w:p>
            <w:pPr>
              <w:spacing w:before="20" w:after="20" w:line="240" w:lineRule="auto"/>
              <w:jc w:val="left"/>
            </w:pPr>
            <w:r>
              <w:rPr>
                <w:sz w:val="17"/>
              </w:rPr>
            </w:r>
          </w:p>
        </w:tc>
        <w:tc>
          <w:tcPr>
            <w:tcW w:type="dxa" w:w="3000"/>
            <w:tcMar>
              <w:top w:w="14" w:type="dxa"/>
              <w:bottom w:w="14" w:type="dxa"/>
              <w:left w:w="40" w:type="dxa"/>
              <w:right w:w="40" w:type="dxa"/>
            </w:tcMar>
          </w:tcPr>
          <w:p>
            <w:pPr>
              <w:spacing w:before="20" w:after="20" w:line="240" w:lineRule="auto"/>
              <w:jc w:val="left"/>
            </w:pPr>
            <w:r>
              <w:rPr>
                <w:sz w:val="17"/>
              </w:rPr>
              <w:t>5.2 Multi-Spectral Passband Sensitivity Sweep</w:t>
            </w:r>
          </w:p>
        </w:tc>
        <w:tc>
          <w:tcPr>
            <w:tcW w:type="dxa" w:w="3000"/>
            <w:tcMar>
              <w:top w:w="14" w:type="dxa"/>
              <w:bottom w:w="14" w:type="dxa"/>
              <w:left w:w="40" w:type="dxa"/>
              <w:right w:w="40" w:type="dxa"/>
            </w:tcMar>
          </w:tcPr>
          <w:p>
            <w:pPr>
              <w:spacing w:before="20" w:after="20" w:line="240" w:lineRule="auto"/>
              <w:jc w:val="right"/>
            </w:pPr>
            <w:r>
              <w:rPr>
                <w:sz w:val="17"/>
              </w:rPr>
              <w:t>17</w:t>
            </w:r>
          </w:p>
        </w:tc>
      </w:tr>
      <w:tr>
        <w:trPr>
          <w:cantSplit/>
        </w:trPr>
        <w:tc>
          <w:tcPr>
            <w:tcW w:type="dxa" w:w="3000"/>
            <w:tcMar>
              <w:top w:w="14" w:type="dxa"/>
              <w:bottom w:w="14" w:type="dxa"/>
              <w:left w:w="40" w:type="dxa"/>
              <w:right w:w="40" w:type="dxa"/>
            </w:tcMar>
          </w:tcPr>
          <w:p>
            <w:pPr>
              <w:spacing w:before="20" w:after="20" w:line="240" w:lineRule="auto"/>
              <w:jc w:val="left"/>
            </w:pPr>
            <w:r>
              <w:rPr>
                <w:sz w:val="17"/>
              </w:rPr>
            </w:r>
          </w:p>
        </w:tc>
        <w:tc>
          <w:tcPr>
            <w:tcW w:type="dxa" w:w="3000"/>
            <w:tcMar>
              <w:top w:w="14" w:type="dxa"/>
              <w:bottom w:w="14" w:type="dxa"/>
              <w:left w:w="40" w:type="dxa"/>
              <w:right w:w="40" w:type="dxa"/>
            </w:tcMar>
          </w:tcPr>
          <w:p>
            <w:pPr>
              <w:spacing w:before="20" w:after="20" w:line="240" w:lineRule="auto"/>
              <w:jc w:val="left"/>
            </w:pPr>
            <w:r>
              <w:rPr>
                <w:sz w:val="17"/>
              </w:rPr>
              <w:t>5.3 Comparative Model Benchmark on Held-Out X9.0 Flare</w:t>
            </w:r>
          </w:p>
        </w:tc>
        <w:tc>
          <w:tcPr>
            <w:tcW w:type="dxa" w:w="3000"/>
            <w:tcMar>
              <w:top w:w="14" w:type="dxa"/>
              <w:bottom w:w="14" w:type="dxa"/>
              <w:left w:w="40" w:type="dxa"/>
              <w:right w:w="40" w:type="dxa"/>
            </w:tcMar>
          </w:tcPr>
          <w:p>
            <w:pPr>
              <w:spacing w:before="20" w:after="20" w:line="240" w:lineRule="auto"/>
              <w:jc w:val="right"/>
            </w:pPr>
            <w:r>
              <w:rPr>
                <w:sz w:val="17"/>
              </w:rPr>
              <w:t>18</w:t>
            </w:r>
          </w:p>
        </w:tc>
      </w:tr>
      <w:tr>
        <w:trPr>
          <w:cantSplit/>
        </w:trPr>
        <w:tc>
          <w:tcPr>
            <w:tcW w:type="dxa" w:w="3000"/>
            <w:tcMar>
              <w:top w:w="14" w:type="dxa"/>
              <w:bottom w:w="14" w:type="dxa"/>
              <w:left w:w="40" w:type="dxa"/>
              <w:right w:w="40" w:type="dxa"/>
            </w:tcMar>
          </w:tcPr>
          <w:p>
            <w:pPr>
              <w:spacing w:before="20" w:after="20" w:line="240" w:lineRule="auto"/>
              <w:jc w:val="left"/>
            </w:pPr>
            <w:r>
              <w:rPr>
                <w:sz w:val="17"/>
              </w:rPr>
            </w:r>
          </w:p>
        </w:tc>
        <w:tc>
          <w:tcPr>
            <w:tcW w:type="dxa" w:w="3000"/>
            <w:tcMar>
              <w:top w:w="14" w:type="dxa"/>
              <w:bottom w:w="14" w:type="dxa"/>
              <w:left w:w="40" w:type="dxa"/>
              <w:right w:w="40" w:type="dxa"/>
            </w:tcMar>
          </w:tcPr>
          <w:p>
            <w:pPr>
              <w:spacing w:before="20" w:after="20" w:line="240" w:lineRule="auto"/>
              <w:jc w:val="left"/>
            </w:pPr>
            <w:r>
              <w:rPr>
                <w:sz w:val="17"/>
              </w:rPr>
              <w:t>5.4 Physical Verification of Learned Coronal Cooling</w:t>
            </w:r>
          </w:p>
        </w:tc>
        <w:tc>
          <w:tcPr>
            <w:tcW w:type="dxa" w:w="3000"/>
            <w:tcMar>
              <w:top w:w="14" w:type="dxa"/>
              <w:bottom w:w="14" w:type="dxa"/>
              <w:left w:w="40" w:type="dxa"/>
              <w:right w:w="40" w:type="dxa"/>
            </w:tcMar>
          </w:tcPr>
          <w:p>
            <w:pPr>
              <w:spacing w:before="20" w:after="20" w:line="240" w:lineRule="auto"/>
              <w:jc w:val="right"/>
            </w:pPr>
            <w:r>
              <w:rPr>
                <w:sz w:val="17"/>
              </w:rPr>
              <w:t>19</w:t>
            </w:r>
          </w:p>
        </w:tc>
      </w:tr>
      <w:tr>
        <w:trPr>
          <w:cantSplit/>
        </w:trPr>
        <w:tc>
          <w:tcPr>
            <w:tcW w:type="dxa" w:w="3000"/>
            <w:tcMar>
              <w:top w:w="14" w:type="dxa"/>
              <w:bottom w:w="14" w:type="dxa"/>
              <w:left w:w="40" w:type="dxa"/>
              <w:right w:w="40" w:type="dxa"/>
            </w:tcMar>
          </w:tcPr>
          <w:p>
            <w:pPr>
              <w:spacing w:before="20" w:after="20" w:line="240" w:lineRule="auto"/>
              <w:jc w:val="left"/>
            </w:pPr>
            <w:r>
              <w:rPr>
                <w:sz w:val="17"/>
              </w:rPr>
            </w:r>
          </w:p>
        </w:tc>
        <w:tc>
          <w:tcPr>
            <w:tcW w:type="dxa" w:w="3000"/>
            <w:tcMar>
              <w:top w:w="14" w:type="dxa"/>
              <w:bottom w:w="14" w:type="dxa"/>
              <w:left w:w="40" w:type="dxa"/>
              <w:right w:w="40" w:type="dxa"/>
            </w:tcMar>
          </w:tcPr>
          <w:p>
            <w:pPr>
              <w:spacing w:before="20" w:after="20" w:line="240" w:lineRule="auto"/>
              <w:jc w:val="left"/>
            </w:pPr>
            <w:r>
              <w:rPr>
                <w:sz w:val="17"/>
              </w:rPr>
              <w:t>5.5 Uncertainty Quantification via Conformal Coverage</w:t>
            </w:r>
          </w:p>
        </w:tc>
        <w:tc>
          <w:tcPr>
            <w:tcW w:type="dxa" w:w="3000"/>
            <w:tcMar>
              <w:top w:w="14" w:type="dxa"/>
              <w:bottom w:w="14" w:type="dxa"/>
              <w:left w:w="40" w:type="dxa"/>
              <w:right w:w="40" w:type="dxa"/>
            </w:tcMar>
          </w:tcPr>
          <w:p>
            <w:pPr>
              <w:spacing w:before="20" w:after="20" w:line="240" w:lineRule="auto"/>
              <w:jc w:val="right"/>
            </w:pPr>
            <w:r>
              <w:rPr>
                <w:sz w:val="17"/>
              </w:rPr>
              <w:t>19</w:t>
            </w:r>
          </w:p>
        </w:tc>
      </w:tr>
      <w:tr>
        <w:trPr>
          <w:cantSplit/>
        </w:trPr>
        <w:tc>
          <w:tcPr>
            <w:tcW w:type="dxa" w:w="3000"/>
            <w:tcMar>
              <w:top w:w="14" w:type="dxa"/>
              <w:bottom w:w="14" w:type="dxa"/>
              <w:left w:w="40" w:type="dxa"/>
              <w:right w:w="40" w:type="dxa"/>
            </w:tcMar>
          </w:tcPr>
          <w:p>
            <w:pPr>
              <w:spacing w:before="20" w:after="20" w:line="240" w:lineRule="auto"/>
              <w:jc w:val="left"/>
            </w:pPr>
            <w:r>
              <w:rPr>
                <w:sz w:val="17"/>
              </w:rPr>
            </w:r>
          </w:p>
        </w:tc>
        <w:tc>
          <w:tcPr>
            <w:tcW w:type="dxa" w:w="3000"/>
            <w:tcMar>
              <w:top w:w="14" w:type="dxa"/>
              <w:bottom w:w="14" w:type="dxa"/>
              <w:left w:w="40" w:type="dxa"/>
              <w:right w:w="40" w:type="dxa"/>
            </w:tcMar>
          </w:tcPr>
          <w:p>
            <w:pPr>
              <w:spacing w:before="20" w:after="20" w:line="240" w:lineRule="auto"/>
              <w:jc w:val="left"/>
            </w:pPr>
            <w:r>
              <w:rPr>
                <w:sz w:val="17"/>
              </w:rPr>
              <w:t>5.6 Explainable AI Attention Attribution &amp; Utility</w:t>
            </w:r>
          </w:p>
        </w:tc>
        <w:tc>
          <w:tcPr>
            <w:tcW w:type="dxa" w:w="3000"/>
            <w:tcMar>
              <w:top w:w="14" w:type="dxa"/>
              <w:bottom w:w="14" w:type="dxa"/>
              <w:left w:w="40" w:type="dxa"/>
              <w:right w:w="40" w:type="dxa"/>
            </w:tcMar>
          </w:tcPr>
          <w:p>
            <w:pPr>
              <w:spacing w:before="20" w:after="20" w:line="240" w:lineRule="auto"/>
              <w:jc w:val="right"/>
            </w:pPr>
            <w:r>
              <w:rPr>
                <w:sz w:val="17"/>
              </w:rPr>
              <w:t>20</w:t>
            </w:r>
          </w:p>
        </w:tc>
      </w:tr>
      <w:tr>
        <w:trPr>
          <w:cantSplit/>
        </w:trPr>
        <w:tc>
          <w:tcPr>
            <w:tcW w:type="dxa" w:w="3000"/>
            <w:tcMar>
              <w:top w:w="14" w:type="dxa"/>
              <w:bottom w:w="14" w:type="dxa"/>
              <w:left w:w="40" w:type="dxa"/>
              <w:right w:w="40" w:type="dxa"/>
            </w:tcMar>
          </w:tcPr>
          <w:p>
            <w:pPr>
              <w:spacing w:before="20" w:after="20" w:line="240" w:lineRule="auto"/>
              <w:jc w:val="left"/>
            </w:pPr>
            <w:r>
              <w:rPr>
                <w:b/>
                <w:sz w:val="17"/>
              </w:rPr>
              <w:t>6</w:t>
            </w:r>
          </w:p>
        </w:tc>
        <w:tc>
          <w:tcPr>
            <w:tcW w:type="dxa" w:w="3000"/>
            <w:tcMar>
              <w:top w:w="14" w:type="dxa"/>
              <w:bottom w:w="14" w:type="dxa"/>
              <w:left w:w="40" w:type="dxa"/>
              <w:right w:w="40" w:type="dxa"/>
            </w:tcMar>
          </w:tcPr>
          <w:p>
            <w:pPr>
              <w:spacing w:before="20" w:after="20" w:line="240" w:lineRule="auto"/>
              <w:jc w:val="left"/>
            </w:pPr>
            <w:r>
              <w:rPr>
                <w:b/>
                <w:sz w:val="17"/>
              </w:rPr>
              <w:t>SUMMARY AND CONCLUSIONS</w:t>
            </w:r>
          </w:p>
        </w:tc>
        <w:tc>
          <w:tcPr>
            <w:tcW w:type="dxa" w:w="3000"/>
            <w:tcMar>
              <w:top w:w="14" w:type="dxa"/>
              <w:bottom w:w="14" w:type="dxa"/>
              <w:left w:w="40" w:type="dxa"/>
              <w:right w:w="40" w:type="dxa"/>
            </w:tcMar>
          </w:tcPr>
          <w:p>
            <w:pPr>
              <w:spacing w:before="20" w:after="20" w:line="240" w:lineRule="auto"/>
              <w:jc w:val="right"/>
            </w:pPr>
            <w:r>
              <w:rPr>
                <w:b/>
                <w:sz w:val="17"/>
              </w:rPr>
              <w:t>21</w:t>
            </w:r>
          </w:p>
        </w:tc>
      </w:tr>
      <w:tr>
        <w:trPr>
          <w:cantSplit/>
        </w:trPr>
        <w:tc>
          <w:tcPr>
            <w:tcW w:type="dxa" w:w="3000"/>
            <w:tcMar>
              <w:top w:w="14" w:type="dxa"/>
              <w:bottom w:w="14" w:type="dxa"/>
              <w:left w:w="40" w:type="dxa"/>
              <w:right w:w="40" w:type="dxa"/>
            </w:tcMar>
          </w:tcPr>
          <w:p>
            <w:pPr>
              <w:spacing w:before="20" w:after="20" w:line="240" w:lineRule="auto"/>
              <w:jc w:val="left"/>
            </w:pPr>
            <w:r>
              <w:rPr>
                <w:sz w:val="17"/>
              </w:rPr>
            </w:r>
          </w:p>
        </w:tc>
        <w:tc>
          <w:tcPr>
            <w:tcW w:type="dxa" w:w="3000"/>
            <w:tcMar>
              <w:top w:w="14" w:type="dxa"/>
              <w:bottom w:w="14" w:type="dxa"/>
              <w:left w:w="40" w:type="dxa"/>
              <w:right w:w="40" w:type="dxa"/>
            </w:tcMar>
          </w:tcPr>
          <w:p>
            <w:pPr>
              <w:spacing w:before="20" w:after="20" w:line="240" w:lineRule="auto"/>
              <w:jc w:val="left"/>
            </w:pPr>
            <w:r>
              <w:rPr>
                <w:sz w:val="17"/>
              </w:rPr>
              <w:t>6.1 Summary of Project Outcomes</w:t>
            </w:r>
          </w:p>
        </w:tc>
        <w:tc>
          <w:tcPr>
            <w:tcW w:type="dxa" w:w="3000"/>
            <w:tcMar>
              <w:top w:w="14" w:type="dxa"/>
              <w:bottom w:w="14" w:type="dxa"/>
              <w:left w:w="40" w:type="dxa"/>
              <w:right w:w="40" w:type="dxa"/>
            </w:tcMar>
          </w:tcPr>
          <w:p>
            <w:pPr>
              <w:spacing w:before="20" w:after="20" w:line="240" w:lineRule="auto"/>
              <w:jc w:val="right"/>
            </w:pPr>
            <w:r>
              <w:rPr>
                <w:sz w:val="17"/>
              </w:rPr>
              <w:t>21</w:t>
            </w:r>
          </w:p>
        </w:tc>
      </w:tr>
      <w:tr>
        <w:trPr>
          <w:cantSplit/>
        </w:trPr>
        <w:tc>
          <w:tcPr>
            <w:tcW w:type="dxa" w:w="3000"/>
            <w:tcMar>
              <w:top w:w="14" w:type="dxa"/>
              <w:bottom w:w="14" w:type="dxa"/>
              <w:left w:w="40" w:type="dxa"/>
              <w:right w:w="40" w:type="dxa"/>
            </w:tcMar>
          </w:tcPr>
          <w:p>
            <w:pPr>
              <w:spacing w:before="20" w:after="20" w:line="240" w:lineRule="auto"/>
              <w:jc w:val="left"/>
            </w:pPr>
            <w:r>
              <w:rPr>
                <w:sz w:val="17"/>
              </w:rPr>
            </w:r>
          </w:p>
        </w:tc>
        <w:tc>
          <w:tcPr>
            <w:tcW w:type="dxa" w:w="3000"/>
            <w:tcMar>
              <w:top w:w="14" w:type="dxa"/>
              <w:bottom w:w="14" w:type="dxa"/>
              <w:left w:w="40" w:type="dxa"/>
              <w:right w:w="40" w:type="dxa"/>
            </w:tcMar>
          </w:tcPr>
          <w:p>
            <w:pPr>
              <w:spacing w:before="20" w:after="20" w:line="240" w:lineRule="auto"/>
              <w:jc w:val="left"/>
            </w:pPr>
            <w:r>
              <w:rPr>
                <w:sz w:val="17"/>
              </w:rPr>
              <w:t>6.2 Major Technical and Societal Contributions</w:t>
            </w:r>
          </w:p>
        </w:tc>
        <w:tc>
          <w:tcPr>
            <w:tcW w:type="dxa" w:w="3000"/>
            <w:tcMar>
              <w:top w:w="14" w:type="dxa"/>
              <w:bottom w:w="14" w:type="dxa"/>
              <w:left w:w="40" w:type="dxa"/>
              <w:right w:w="40" w:type="dxa"/>
            </w:tcMar>
          </w:tcPr>
          <w:p>
            <w:pPr>
              <w:spacing w:before="20" w:after="20" w:line="240" w:lineRule="auto"/>
              <w:jc w:val="right"/>
            </w:pPr>
            <w:r>
              <w:rPr>
                <w:sz w:val="17"/>
              </w:rPr>
              <w:t>21</w:t>
            </w:r>
          </w:p>
        </w:tc>
      </w:tr>
      <w:tr>
        <w:trPr>
          <w:cantSplit/>
        </w:trPr>
        <w:tc>
          <w:tcPr>
            <w:tcW w:type="dxa" w:w="3000"/>
            <w:tcMar>
              <w:top w:w="14" w:type="dxa"/>
              <w:bottom w:w="14" w:type="dxa"/>
              <w:left w:w="40" w:type="dxa"/>
              <w:right w:w="40" w:type="dxa"/>
            </w:tcMar>
          </w:tcPr>
          <w:p>
            <w:pPr>
              <w:spacing w:before="20" w:after="20" w:line="240" w:lineRule="auto"/>
              <w:jc w:val="left"/>
            </w:pPr>
            <w:r>
              <w:rPr>
                <w:sz w:val="17"/>
              </w:rPr>
            </w:r>
          </w:p>
        </w:tc>
        <w:tc>
          <w:tcPr>
            <w:tcW w:type="dxa" w:w="3000"/>
            <w:tcMar>
              <w:top w:w="14" w:type="dxa"/>
              <w:bottom w:w="14" w:type="dxa"/>
              <w:left w:w="40" w:type="dxa"/>
              <w:right w:w="40" w:type="dxa"/>
            </w:tcMar>
          </w:tcPr>
          <w:p>
            <w:pPr>
              <w:spacing w:before="20" w:after="20" w:line="240" w:lineRule="auto"/>
              <w:jc w:val="left"/>
            </w:pPr>
            <w:r>
              <w:rPr>
                <w:sz w:val="17"/>
              </w:rPr>
              <w:t>6.3 Future Directions and Mission Deployment Roadmap</w:t>
            </w:r>
          </w:p>
        </w:tc>
        <w:tc>
          <w:tcPr>
            <w:tcW w:type="dxa" w:w="3000"/>
            <w:tcMar>
              <w:top w:w="14" w:type="dxa"/>
              <w:bottom w:w="14" w:type="dxa"/>
              <w:left w:w="40" w:type="dxa"/>
              <w:right w:w="40" w:type="dxa"/>
            </w:tcMar>
          </w:tcPr>
          <w:p>
            <w:pPr>
              <w:spacing w:before="20" w:after="20" w:line="240" w:lineRule="auto"/>
              <w:jc w:val="right"/>
            </w:pPr>
            <w:r>
              <w:rPr>
                <w:sz w:val="17"/>
              </w:rPr>
              <w:t>21</w:t>
            </w:r>
          </w:p>
        </w:tc>
      </w:tr>
      <w:tr>
        <w:trPr>
          <w:cantSplit/>
        </w:trPr>
        <w:tc>
          <w:tcPr>
            <w:tcW w:type="dxa" w:w="3000"/>
            <w:tcMar>
              <w:top w:w="14" w:type="dxa"/>
              <w:bottom w:w="14" w:type="dxa"/>
              <w:left w:w="40" w:type="dxa"/>
              <w:right w:w="40" w:type="dxa"/>
            </w:tcMar>
          </w:tcPr>
          <w:p>
            <w:pPr>
              <w:spacing w:before="20" w:after="20" w:line="240" w:lineRule="auto"/>
              <w:jc w:val="left"/>
            </w:pPr>
            <w:r>
              <w:rPr>
                <w:sz w:val="17"/>
              </w:rPr>
            </w:r>
          </w:p>
        </w:tc>
        <w:tc>
          <w:tcPr>
            <w:tcW w:type="dxa" w:w="3000"/>
            <w:tcMar>
              <w:top w:w="14" w:type="dxa"/>
              <w:bottom w:w="14" w:type="dxa"/>
              <w:left w:w="40" w:type="dxa"/>
              <w:right w:w="40" w:type="dxa"/>
            </w:tcMar>
          </w:tcPr>
          <w:p>
            <w:pPr>
              <w:spacing w:before="20" w:after="20" w:line="240" w:lineRule="auto"/>
              <w:jc w:val="left"/>
            </w:pPr>
            <w:r>
              <w:rPr>
                <w:b/>
                <w:sz w:val="17"/>
              </w:rPr>
              <w:t>REFERENCES</w:t>
            </w:r>
          </w:p>
        </w:tc>
        <w:tc>
          <w:tcPr>
            <w:tcW w:type="dxa" w:w="3000"/>
            <w:tcMar>
              <w:top w:w="14" w:type="dxa"/>
              <w:bottom w:w="14" w:type="dxa"/>
              <w:left w:w="40" w:type="dxa"/>
              <w:right w:w="40" w:type="dxa"/>
            </w:tcMar>
          </w:tcPr>
          <w:p>
            <w:pPr>
              <w:spacing w:before="20" w:after="20" w:line="240" w:lineRule="auto"/>
              <w:jc w:val="right"/>
            </w:pPr>
            <w:r>
              <w:rPr>
                <w:sz w:val="17"/>
              </w:rPr>
              <w:t>22</w:t>
            </w:r>
          </w:p>
        </w:tc>
      </w:tr>
      <w:tr>
        <w:trPr>
          <w:cantSplit/>
        </w:trPr>
        <w:tc>
          <w:tcPr>
            <w:tcW w:type="dxa" w:w="3000"/>
            <w:tcMar>
              <w:top w:w="14" w:type="dxa"/>
              <w:bottom w:w="14" w:type="dxa"/>
              <w:left w:w="40" w:type="dxa"/>
              <w:right w:w="40" w:type="dxa"/>
            </w:tcMar>
          </w:tcPr>
          <w:p>
            <w:pPr>
              <w:spacing w:before="20" w:after="20" w:line="240" w:lineRule="auto"/>
              <w:jc w:val="left"/>
            </w:pPr>
            <w:r>
              <w:rPr>
                <w:sz w:val="17"/>
              </w:rPr>
            </w:r>
          </w:p>
        </w:tc>
        <w:tc>
          <w:tcPr>
            <w:tcW w:type="dxa" w:w="3000"/>
            <w:tcMar>
              <w:top w:w="14" w:type="dxa"/>
              <w:bottom w:w="14" w:type="dxa"/>
              <w:left w:w="40" w:type="dxa"/>
              <w:right w:w="40" w:type="dxa"/>
            </w:tcMar>
          </w:tcPr>
          <w:p>
            <w:pPr>
              <w:spacing w:before="20" w:after="20" w:line="240" w:lineRule="auto"/>
              <w:jc w:val="left"/>
            </w:pPr>
            <w:r>
              <w:rPr>
                <w:b/>
                <w:sz w:val="17"/>
              </w:rPr>
              <w:t>APPENDIX A: PROJECT MODEL CHART</w:t>
            </w:r>
          </w:p>
        </w:tc>
        <w:tc>
          <w:tcPr>
            <w:tcW w:type="dxa" w:w="3000"/>
            <w:tcMar>
              <w:top w:w="14" w:type="dxa"/>
              <w:bottom w:w="14" w:type="dxa"/>
              <w:left w:w="40" w:type="dxa"/>
              <w:right w:w="40" w:type="dxa"/>
            </w:tcMar>
          </w:tcPr>
          <w:p>
            <w:pPr>
              <w:spacing w:before="20" w:after="20" w:line="240" w:lineRule="auto"/>
              <w:jc w:val="right"/>
            </w:pPr>
            <w:r>
              <w:rPr>
                <w:sz w:val="17"/>
              </w:rPr>
              <w:t>23</w:t>
            </w:r>
          </w:p>
        </w:tc>
      </w:tr>
      <w:tr>
        <w:trPr>
          <w:cantSplit/>
        </w:trPr>
        <w:tc>
          <w:tcPr>
            <w:tcW w:type="dxa" w:w="3000"/>
            <w:tcMar>
              <w:top w:w="14" w:type="dxa"/>
              <w:bottom w:w="14" w:type="dxa"/>
              <w:left w:w="40" w:type="dxa"/>
              <w:right w:w="40" w:type="dxa"/>
            </w:tcMar>
          </w:tcPr>
          <w:p>
            <w:pPr>
              <w:spacing w:before="20" w:after="20" w:line="240" w:lineRule="auto"/>
              <w:jc w:val="left"/>
            </w:pPr>
            <w:r>
              <w:rPr>
                <w:sz w:val="17"/>
              </w:rPr>
            </w:r>
          </w:p>
        </w:tc>
        <w:tc>
          <w:tcPr>
            <w:tcW w:type="dxa" w:w="3000"/>
            <w:tcMar>
              <w:top w:w="14" w:type="dxa"/>
              <w:bottom w:w="14" w:type="dxa"/>
              <w:left w:w="40" w:type="dxa"/>
              <w:right w:w="40" w:type="dxa"/>
            </w:tcMar>
          </w:tcPr>
          <w:p>
            <w:pPr>
              <w:spacing w:before="20" w:after="20" w:line="240" w:lineRule="auto"/>
              <w:jc w:val="left"/>
            </w:pPr>
            <w:r>
              <w:rPr>
                <w:b/>
                <w:sz w:val="17"/>
              </w:rPr>
              <w:t>APPENDIX B: CORE IMPLEMENTATION SOURCE CODE</w:t>
            </w:r>
          </w:p>
        </w:tc>
        <w:tc>
          <w:tcPr>
            <w:tcW w:type="dxa" w:w="3000"/>
            <w:tcMar>
              <w:top w:w="14" w:type="dxa"/>
              <w:bottom w:w="14" w:type="dxa"/>
              <w:left w:w="40" w:type="dxa"/>
              <w:right w:w="40" w:type="dxa"/>
            </w:tcMar>
          </w:tcPr>
          <w:p>
            <w:pPr>
              <w:spacing w:before="20" w:after="20" w:line="240" w:lineRule="auto"/>
              <w:jc w:val="right"/>
            </w:pPr>
            <w:r>
              <w:rPr>
                <w:sz w:val="17"/>
              </w:rPr>
              <w:t>24</w:t>
            </w:r>
          </w:p>
        </w:tc>
      </w:tr>
    </w:tbl>
    <w:p>
      <w:r>
        <w:br w:type="page"/>
      </w:r>
    </w:p>
    <w:p>
      <w:pPr>
        <w:keepNext/>
        <w:spacing w:before="320" w:after="120"/>
        <w:jc w:val="left"/>
      </w:pPr>
      <w:r>
        <w:rPr>
          <w:rFonts w:ascii="Times New Roman" w:hAnsi="Times New Roman"/>
          <w:b/>
          <w:color w:val="000000"/>
          <w:sz w:val="26"/>
        </w:rPr>
        <w:t>CHAPTER 1: INTRODUCTION</w:t>
      </w:r>
    </w:p>
    <w:p>
      <w:pPr>
        <w:keepNext/>
        <w:spacing w:before="240" w:after="80"/>
        <w:jc w:val="left"/>
      </w:pPr>
      <w:r>
        <w:rPr>
          <w:rFonts w:ascii="Times New Roman" w:hAnsi="Times New Roman"/>
          <w:b/>
          <w:color w:val="000000"/>
          <w:sz w:val="23"/>
        </w:rPr>
        <w:t>1.1 Astrophysical Background and Solar Flares</w:t>
      </w:r>
    </w:p>
    <w:p>
      <w:pPr>
        <w:spacing w:before="0" w:after="120" w:line="288" w:lineRule="auto"/>
        <w:jc w:val="both"/>
      </w:pPr>
      <w:r>
        <w:rPr>
          <w:rFonts w:ascii="Times New Roman" w:hAnsi="Times New Roman"/>
          <w:b w:val="0"/>
          <w:i w:val="0"/>
          <w:color w:val="000000"/>
          <w:sz w:val="22"/>
        </w:rPr>
        <w:t>Solar flares are sudden, localized explosions of radiation in the solar atmosphere caused by magnetic reconnection in highly twisted, non-potential magnetic flux ropes rooted in active regions. Over timescales ranging from tens of seconds to several hours, flares convert stored free magnetic energy into plasma heating, bulk kinetic acceleration, and relativistic particle acceleration. Flaring radiation spans the entire electromagnetic spectrum, ranging from radio bursts and optical continuum to extreme ultraviolet (EUV), soft X-rays (SXR, 1-25 keV), and hard X-rays (HXR, 10-200 keV). In major eruptive flares, reconnection is accompanied by the ejection of billion-ton magnetized coronal plasma clouds termed Coronal Mass Ejections (CMEs) propagating at velocities exceeding 2,000 km/s.</w:t>
      </w:r>
    </w:p>
    <w:p>
      <w:pPr>
        <w:keepNext/>
        <w:spacing w:before="240" w:after="80"/>
        <w:jc w:val="left"/>
      </w:pPr>
      <w:r>
        <w:rPr>
          <w:rFonts w:ascii="Times New Roman" w:hAnsi="Times New Roman"/>
          <w:b/>
          <w:color w:val="000000"/>
          <w:sz w:val="23"/>
        </w:rPr>
        <w:t>1.2 Space Weather Hazards to Critical Infrastructure</w:t>
      </w:r>
    </w:p>
    <w:p>
      <w:pPr>
        <w:spacing w:before="0" w:after="120" w:line="288" w:lineRule="auto"/>
        <w:jc w:val="both"/>
      </w:pPr>
      <w:r>
        <w:rPr>
          <w:rFonts w:ascii="Times New Roman" w:hAnsi="Times New Roman"/>
          <w:b w:val="0"/>
          <w:i w:val="0"/>
          <w:color w:val="000000"/>
          <w:sz w:val="22"/>
        </w:rPr>
        <w:t>Space weather represents an existential threat to modern technological civilization. Solar flares emit intense ionizing radiation that drastically alters the ionization structure of the Earth's ionospheric D-layer, causing immediate Short-Wave Fadeouts (SWF) and disabling high-frequency (HF, 3-30 MHz) trans-polar aviation and maritime communications. Furthermore, solar energetic particles (SEPs) accelerated during major flares penetrate satellite shielding, causing Single Event Upsets (SEU), memory bit flips, solar cell degradation, and permanent payload failure. For megawatt ground electrical grids, geomagnetically induced currents (GIC) driven by coronal mass ejections can saturate high-voltage transformer cores, inducing catastrophic regional blackouts as observed during the March 1989 Hydro-Quebec event.</w:t>
      </w:r>
    </w:p>
    <w:p>
      <w:pPr>
        <w:keepNext/>
        <w:spacing w:before="240" w:after="80"/>
        <w:jc w:val="left"/>
      </w:pPr>
      <w:r>
        <w:rPr>
          <w:rFonts w:ascii="Times New Roman" w:hAnsi="Times New Roman"/>
          <w:b/>
          <w:color w:val="000000"/>
          <w:sz w:val="23"/>
        </w:rPr>
        <w:t>1.3 The Aditya-L1 Space Observatory and Payloads</w:t>
      </w:r>
    </w:p>
    <w:p>
      <w:pPr>
        <w:spacing w:before="0" w:after="120" w:line="288" w:lineRule="auto"/>
        <w:jc w:val="both"/>
      </w:pPr>
      <w:r>
        <w:rPr>
          <w:rFonts w:ascii="Times New Roman" w:hAnsi="Times New Roman"/>
          <w:b w:val="0"/>
          <w:i w:val="0"/>
          <w:color w:val="000000"/>
          <w:sz w:val="22"/>
        </w:rPr>
        <w:t>Launched by the Indian Space Research Organisation (ISRO) on September 2, 2023, Aditya-L1 is India's first dedicated space-based solar observatory. Positioned in a halo orbit around the Sun-Earth Lagrangian Point 1 (L1), roughly 1.5 million kilometers upstream from Earth, Aditya-L1 enjoys an uninterrupted, 24/7 view of the Sun free from planetary occultation or atmospheric absorption. Two scientific payloads aboard Aditya-L1 provide unprecedented multi-spectral X-ray observations:</w:t>
      </w:r>
    </w:p>
    <w:p>
      <w:pPr>
        <w:spacing w:before="0" w:after="80" w:line="276" w:lineRule="auto"/>
        <w:ind w:left="360"/>
      </w:pPr>
      <w:r>
        <w:rPr>
          <w:rFonts w:ascii="Times New Roman" w:hAnsi="Times New Roman"/>
          <w:b/>
          <w:sz w:val="22"/>
        </w:rPr>
        <w:t xml:space="preserve">* </w:t>
      </w:r>
      <w:r>
        <w:rPr>
          <w:rFonts w:ascii="Times New Roman" w:hAnsi="Times New Roman"/>
          <w:b/>
          <w:sz w:val="22"/>
        </w:rPr>
        <w:t>Solar Low Energy X-ray Spectrometer (SoLEXS)</w:t>
      </w:r>
      <w:r>
        <w:rPr>
          <w:rFonts w:ascii="Times New Roman" w:hAnsi="Times New Roman"/>
          <w:sz w:val="22"/>
        </w:rPr>
        <w:t>: Equipped with silicon drift detectors (SDD) operating from 1 keV to 15 keV with 1-second cadence, measuring thermal soft X-ray emission from multi-million Kelvin heated coronal plasma loops.</w:t>
      </w:r>
    </w:p>
    <w:p>
      <w:pPr>
        <w:spacing w:before="0" w:after="80" w:line="276" w:lineRule="auto"/>
        <w:ind w:left="360"/>
      </w:pPr>
      <w:r>
        <w:rPr>
          <w:rFonts w:ascii="Times New Roman" w:hAnsi="Times New Roman"/>
          <w:b/>
          <w:sz w:val="22"/>
        </w:rPr>
        <w:t xml:space="preserve">* </w:t>
      </w:r>
      <w:r>
        <w:rPr>
          <w:rFonts w:ascii="Times New Roman" w:hAnsi="Times New Roman"/>
          <w:b/>
          <w:sz w:val="22"/>
        </w:rPr>
        <w:t>High Energy L1 Orbiting X-ray Spectrometer (HEL1OS)</w:t>
      </w:r>
      <w:r>
        <w:rPr>
          <w:rFonts w:ascii="Times New Roman" w:hAnsi="Times New Roman"/>
          <w:sz w:val="22"/>
        </w:rPr>
        <w:t>: Equipped with CdTe and CZT solid-state semiconductor detectors operating across 10 keV to 150 keV with 1-second cadence, capturing bremsstrahlung radiation produced by non-thermal relativistic electron beams slamming into the dense chromosphere.</w:t>
      </w:r>
    </w:p>
    <w:p>
      <w:pPr>
        <w:keepNext/>
        <w:spacing w:before="200" w:after="80"/>
        <w:jc w:val="center"/>
      </w:pPr>
      <w:r>
        <w:drawing>
          <wp:inline xmlns:a="http://schemas.openxmlformats.org/drawingml/2006/main" xmlns:pic="http://schemas.openxmlformats.org/drawingml/2006/picture">
            <wp:extent cx="5029200" cy="2012655"/>
            <wp:docPr id="3" name="Picture 3"/>
            <wp:cNvGraphicFramePr>
              <a:graphicFrameLocks noChangeAspect="1"/>
            </wp:cNvGraphicFramePr>
            <a:graphic>
              <a:graphicData uri="http://schemas.openxmlformats.org/drawingml/2006/picture">
                <pic:pic>
                  <pic:nvPicPr>
                    <pic:cNvPr id="0" name="figure1_orbit_and_sensors.png"/>
                    <pic:cNvPicPr/>
                  </pic:nvPicPr>
                  <pic:blipFill>
                    <a:blip r:embed="rId11"/>
                    <a:stretch>
                      <a:fillRect/>
                    </a:stretch>
                  </pic:blipFill>
                  <pic:spPr>
                    <a:xfrm>
                      <a:off x="0" y="0"/>
                      <a:ext cx="5029200" cy="2012655"/>
                    </a:xfrm>
                    <a:prstGeom prst="rect"/>
                  </pic:spPr>
                </pic:pic>
              </a:graphicData>
            </a:graphic>
          </wp:inline>
        </w:drawing>
      </w:r>
    </w:p>
    <w:p>
      <w:pPr>
        <w:spacing w:before="40" w:after="200" w:line="276" w:lineRule="auto"/>
        <w:jc w:val="center"/>
      </w:pPr>
      <w:r>
        <w:rPr>
          <w:rFonts w:ascii="Times New Roman" w:hAnsi="Times New Roman"/>
          <w:i/>
          <w:sz w:val="19"/>
        </w:rPr>
        <w:t>Figure 1.1: Aditya-L1 Halo Orbit around Sun-Earth L1 and Dual Payload Architecture (SoLEXS &amp; HEL1OS).</w:t>
      </w:r>
    </w:p>
    <w:p>
      <w:pPr>
        <w:keepNext/>
        <w:spacing w:before="240" w:after="80"/>
        <w:jc w:val="left"/>
      </w:pPr>
      <w:r>
        <w:rPr>
          <w:rFonts w:ascii="Times New Roman" w:hAnsi="Times New Roman"/>
          <w:b/>
          <w:color w:val="000000"/>
          <w:sz w:val="23"/>
        </w:rPr>
        <w:t>1.4 Problem Statement: Rare-Event Forecasting Dilemma in AI/ML</w:t>
      </w:r>
    </w:p>
    <w:p>
      <w:pPr>
        <w:spacing w:before="0" w:after="120" w:line="288" w:lineRule="auto"/>
        <w:jc w:val="both"/>
      </w:pPr>
      <w:r>
        <w:rPr>
          <w:rFonts w:ascii="Times New Roman" w:hAnsi="Times New Roman"/>
          <w:b w:val="0"/>
          <w:i w:val="0"/>
          <w:color w:val="000000"/>
          <w:sz w:val="22"/>
        </w:rPr>
        <w:t>Operational solar flare forecasting using machine learning is plagued by two severe mathematical dilemmas. First, major X-class flares are exceedingly rare events, accounting for less than 0.3% of operational hours even during solar maximum (an extreme class imbalance ratio exceeding 1:300). Under standard empirical risk minimization, deep learning algorithms suffer catastrophic collapse to 'all-quiet' majority class predictions, achieving 99.7% naive accuracy while failing completely to anticipate catastrophic flares. Second, purely data-driven black-box neural networks ignore fundamental plasma thermodynamics, resulting in unphysical predictions and overconfident false alarms that cause millions of dollars in unnecessary satellite orbital maneuvering costs.</w:t>
      </w:r>
    </w:p>
    <w:p>
      <w:pPr>
        <w:keepNext/>
        <w:spacing w:before="240" w:after="80"/>
        <w:jc w:val="left"/>
      </w:pPr>
      <w:r>
        <w:rPr>
          <w:rFonts w:ascii="Times New Roman" w:hAnsi="Times New Roman"/>
          <w:b/>
          <w:color w:val="000000"/>
          <w:sz w:val="23"/>
        </w:rPr>
        <w:t>1.5 Objectives and Machine Learning Project Scope</w:t>
      </w:r>
    </w:p>
    <w:p>
      <w:pPr>
        <w:spacing w:before="0" w:after="120" w:line="288" w:lineRule="auto"/>
        <w:jc w:val="both"/>
      </w:pPr>
      <w:r>
        <w:rPr>
          <w:rFonts w:ascii="Times New Roman" w:hAnsi="Times New Roman"/>
          <w:b w:val="0"/>
          <w:i w:val="0"/>
          <w:color w:val="000000"/>
          <w:sz w:val="22"/>
        </w:rPr>
        <w:t>This project develops an end-to-end, physics-grounded deep learning system to resolve the rare-event solar flare prediction problem using real in-orbit telemetry from Aditya-L1. The specific machine learning objectives are:</w:t>
      </w:r>
    </w:p>
    <w:p>
      <w:pPr>
        <w:spacing w:before="0" w:after="80" w:line="276" w:lineRule="auto"/>
        <w:ind w:left="360"/>
      </w:pPr>
      <w:r>
        <w:rPr>
          <w:rFonts w:ascii="Times New Roman" w:hAnsi="Times New Roman"/>
          <w:b/>
          <w:sz w:val="22"/>
        </w:rPr>
        <w:t xml:space="preserve">* </w:t>
      </w:r>
      <w:r>
        <w:rPr>
          <w:rFonts w:ascii="Times New Roman" w:hAnsi="Times New Roman"/>
          <w:b/>
          <w:sz w:val="22"/>
        </w:rPr>
        <w:t>Multi-Spectral Graph Formulation</w:t>
      </w:r>
      <w:r>
        <w:rPr>
          <w:rFonts w:ascii="Times New Roman" w:hAnsi="Times New Roman"/>
          <w:sz w:val="22"/>
        </w:rPr>
        <w:t>: Construct a 5-node complete spectral graph interconnecting SoLEXS and HEL1OS passbands.</w:t>
      </w:r>
    </w:p>
    <w:p>
      <w:pPr>
        <w:spacing w:before="0" w:after="80" w:line="276" w:lineRule="auto"/>
        <w:ind w:left="360"/>
      </w:pPr>
      <w:r>
        <w:rPr>
          <w:rFonts w:ascii="Times New Roman" w:hAnsi="Times New Roman"/>
          <w:b/>
          <w:sz w:val="22"/>
        </w:rPr>
        <w:t xml:space="preserve">* </w:t>
      </w:r>
      <w:r>
        <w:rPr>
          <w:rFonts w:ascii="Times New Roman" w:hAnsi="Times New Roman"/>
          <w:b/>
          <w:sz w:val="22"/>
        </w:rPr>
        <w:t>Spatio-Temporal Graph Transformer</w:t>
      </w:r>
      <w:r>
        <w:rPr>
          <w:rFonts w:ascii="Times New Roman" w:hAnsi="Times New Roman"/>
          <w:sz w:val="22"/>
        </w:rPr>
        <w:t>: Develop dual-axis self-attention to model spatial cross-band physical coupling and causal pre-flare precursors.</w:t>
      </w:r>
    </w:p>
    <w:p>
      <w:pPr>
        <w:spacing w:before="0" w:after="80" w:line="276" w:lineRule="auto"/>
        <w:ind w:left="360"/>
      </w:pPr>
      <w:r>
        <w:rPr>
          <w:rFonts w:ascii="Times New Roman" w:hAnsi="Times New Roman"/>
          <w:b/>
          <w:sz w:val="22"/>
        </w:rPr>
        <w:t xml:space="preserve">* </w:t>
      </w:r>
      <w:r>
        <w:rPr>
          <w:rFonts w:ascii="Times New Roman" w:hAnsi="Times New Roman"/>
          <w:b/>
          <w:sz w:val="22"/>
        </w:rPr>
        <w:t>Physics-Informed (PINN) Loss</w:t>
      </w:r>
      <w:r>
        <w:rPr>
          <w:rFonts w:ascii="Times New Roman" w:hAnsi="Times New Roman"/>
          <w:sz w:val="22"/>
        </w:rPr>
        <w:t>: Embed the Neupert differential equation into backpropagation with GradNorm multi-task gradient balancing.</w:t>
      </w:r>
    </w:p>
    <w:p>
      <w:pPr>
        <w:spacing w:before="0" w:after="80" w:line="276" w:lineRule="auto"/>
        <w:ind w:left="360"/>
      </w:pPr>
      <w:r>
        <w:rPr>
          <w:rFonts w:ascii="Times New Roman" w:hAnsi="Times New Roman"/>
          <w:b/>
          <w:sz w:val="22"/>
        </w:rPr>
        <w:t xml:space="preserve">* </w:t>
      </w:r>
      <w:r>
        <w:rPr>
          <w:rFonts w:ascii="Times New Roman" w:hAnsi="Times New Roman"/>
          <w:b/>
          <w:sz w:val="22"/>
        </w:rPr>
        <w:t>Conformal Uncertainty Calibration</w:t>
      </w:r>
      <w:r>
        <w:rPr>
          <w:rFonts w:ascii="Times New Roman" w:hAnsi="Times New Roman"/>
          <w:sz w:val="22"/>
        </w:rPr>
        <w:t>: Implement Mondrian conformal prediction to provide finite-sample guaranteed 95% coverage prediction sets.</w:t>
      </w:r>
    </w:p>
    <w:p>
      <w:pPr>
        <w:spacing w:before="0" w:after="80" w:line="276" w:lineRule="auto"/>
        <w:ind w:left="360"/>
      </w:pPr>
      <w:r>
        <w:rPr>
          <w:rFonts w:ascii="Times New Roman" w:hAnsi="Times New Roman"/>
          <w:b/>
          <w:sz w:val="22"/>
        </w:rPr>
        <w:t xml:space="preserve">* </w:t>
      </w:r>
      <w:r>
        <w:rPr>
          <w:rFonts w:ascii="Times New Roman" w:hAnsi="Times New Roman"/>
          <w:b/>
          <w:sz w:val="22"/>
        </w:rPr>
        <w:t>Operational Cockpit</w:t>
      </w:r>
      <w:r>
        <w:rPr>
          <w:rFonts w:ascii="Times New Roman" w:hAnsi="Times New Roman"/>
          <w:sz w:val="22"/>
        </w:rPr>
        <w:t>: Deploy the calibrated AI pipeline via FastAPI streaming real-time alerts to satellite fleet operators.</w:t>
      </w:r>
    </w:p>
    <w:p>
      <w:r>
        <w:br w:type="page"/>
      </w:r>
    </w:p>
    <w:p>
      <w:pPr>
        <w:keepNext/>
        <w:spacing w:before="320" w:after="120"/>
        <w:jc w:val="left"/>
      </w:pPr>
      <w:r>
        <w:rPr>
          <w:rFonts w:ascii="Times New Roman" w:hAnsi="Times New Roman"/>
          <w:b/>
          <w:color w:val="000000"/>
          <w:sz w:val="26"/>
        </w:rPr>
        <w:t>CHAPTER 2: LITERATURE SURVEY</w:t>
      </w:r>
    </w:p>
    <w:p>
      <w:pPr>
        <w:keepNext/>
        <w:spacing w:before="240" w:after="80"/>
        <w:jc w:val="left"/>
      </w:pPr>
      <w:r>
        <w:rPr>
          <w:rFonts w:ascii="Times New Roman" w:hAnsi="Times New Roman"/>
          <w:b/>
          <w:color w:val="000000"/>
          <w:sz w:val="23"/>
        </w:rPr>
        <w:t>2.1 The Neupert Effect &amp; Chromospheric Evaporation</w:t>
      </w:r>
    </w:p>
    <w:p>
      <w:pPr>
        <w:spacing w:before="0" w:after="120" w:line="288" w:lineRule="auto"/>
        <w:jc w:val="both"/>
      </w:pPr>
      <w:r>
        <w:rPr>
          <w:rFonts w:ascii="Times New Roman" w:hAnsi="Times New Roman"/>
          <w:b w:val="0"/>
          <w:i w:val="0"/>
          <w:color w:val="000000"/>
          <w:sz w:val="22"/>
        </w:rPr>
        <w:t>The physical foundation of solar flare impulsive phase energetics was formulated by Werner Neupert (1968). Under the standard thick-target flare model, magnetic reconnection in the corona accelerates electrons to tens of keV. These non-thermal beams stream downward along closed magnetic loop legs and impact the dense chromosphere, producing hard X-ray (HXR) bremsstrahlung emission. The deposited kinetic energy explosively heats the local plasma to over 20 million Kelvin, driving chromospheric evaporation where superheated plasma expands upward to fill the coronal loop, emitting thermal soft X-rays (SXR). Mathematically, the rate of increase of thermal soft X-ray flux is proportional to the instantaneous hard X-ray flux minus hydrodynamic radiative and conductive losses:</w:t>
      </w:r>
    </w:p>
    <w:p>
      <w:pPr>
        <w:spacing w:before="80" w:after="120" w:line="288" w:lineRule="auto"/>
        <w:jc w:val="center"/>
      </w:pPr>
      <w:r>
        <w:rPr>
          <w:rFonts w:ascii="Times New Roman" w:hAnsi="Times New Roman"/>
          <w:b/>
          <w:i w:val="0"/>
          <w:color w:val="000000"/>
          <w:sz w:val="21"/>
        </w:rPr>
        <w:t>d(F_SXR)/dt = alpha * F_HXR(t) - beta * F_SXR(t)</w:t>
      </w:r>
    </w:p>
    <w:p>
      <w:pPr>
        <w:spacing w:before="0" w:after="120" w:line="288" w:lineRule="auto"/>
        <w:jc w:val="both"/>
      </w:pPr>
      <w:r>
        <w:rPr>
          <w:rFonts w:ascii="Times New Roman" w:hAnsi="Times New Roman"/>
          <w:b w:val="0"/>
          <w:i w:val="0"/>
          <w:color w:val="000000"/>
          <w:sz w:val="22"/>
        </w:rPr>
        <w:t>where alpha represents the non-thermal beam deposition efficiency and beta represents the characteristic hydrodynamic coronal loop cooling timescale (Neupert, 1968; Veronig et al., 2005).</w:t>
      </w:r>
    </w:p>
    <w:p>
      <w:pPr>
        <w:keepNext/>
        <w:spacing w:before="240" w:after="80"/>
        <w:jc w:val="left"/>
      </w:pPr>
      <w:r>
        <w:rPr>
          <w:rFonts w:ascii="Times New Roman" w:hAnsi="Times New Roman"/>
          <w:b/>
          <w:color w:val="000000"/>
          <w:sz w:val="23"/>
        </w:rPr>
        <w:t>2.2 Machine Learning in Space Weather &amp; Limitations</w:t>
      </w:r>
    </w:p>
    <w:p>
      <w:pPr>
        <w:spacing w:before="0" w:after="120" w:line="288" w:lineRule="auto"/>
        <w:jc w:val="both"/>
      </w:pPr>
      <w:r>
        <w:rPr>
          <w:rFonts w:ascii="Times New Roman" w:hAnsi="Times New Roman"/>
          <w:b w:val="0"/>
          <w:i w:val="0"/>
          <w:color w:val="000000"/>
          <w:sz w:val="22"/>
        </w:rPr>
        <w:t>Over the past decade, numerous machine learning algorithms have been applied to solar flare forecasting. Classical models like Support Vector Machines (SVM), Random Forests (RF), and XGBoost (Bobra &amp; Couvidat, 2015) rely on hand-crafted photospheric magnetic field features extracted from SDO/HMI. While computationally fast, these tabular models discard temporal sequencing and fail to capture impulsive non-linear precursor dynamics. More recent deep learning architectures such as Long Short-Term Memory networks (LSTM) and Temporal Convolutional Networks (TCN) capture sequential patterns but treat multi-sensor spectral channels as independent, flat tabular vectors, missing the physical energy transfer mechanisms across the electromagnetic spectrum (Camporeale, 2025).</w:t>
      </w:r>
    </w:p>
    <w:p>
      <w:pPr>
        <w:keepNext/>
        <w:spacing w:before="240" w:after="80"/>
        <w:jc w:val="left"/>
      </w:pPr>
      <w:r>
        <w:rPr>
          <w:rFonts w:ascii="Times New Roman" w:hAnsi="Times New Roman"/>
          <w:b/>
          <w:color w:val="000000"/>
          <w:sz w:val="23"/>
        </w:rPr>
        <w:t>2.3 Physics-Informed Neural Networks (PINNs) in Science</w:t>
      </w:r>
    </w:p>
    <w:p>
      <w:pPr>
        <w:spacing w:before="0" w:after="120" w:line="288" w:lineRule="auto"/>
        <w:jc w:val="both"/>
      </w:pPr>
      <w:r>
        <w:rPr>
          <w:rFonts w:ascii="Times New Roman" w:hAnsi="Times New Roman"/>
          <w:b w:val="0"/>
          <w:i w:val="0"/>
          <w:color w:val="000000"/>
          <w:sz w:val="22"/>
        </w:rPr>
        <w:t>Introduced by Raissi, Perdikaris, and Karniadakis (2019), Physics-Informed Neural Networks (PINNs) seamlessly bridge machine learning and physical laws by augmenting empirical training objectives with differential equation residuals. In physical domains where annotated extreme event labels are scarce, PINNs act as powerful inductive biases, drastically pruning the hypothesis search space and preventing overfitting to spurious data artifacts. Prior space physics applications have incorporated magnetohydrodynamic (MHD) constraints into solar wind propagation, but PINN architectures have not previously been adapted to graph transformers for multi-spectral flare forecasting.</w:t>
      </w:r>
    </w:p>
    <w:p>
      <w:pPr>
        <w:keepNext/>
        <w:spacing w:before="240" w:after="80"/>
        <w:jc w:val="left"/>
      </w:pPr>
      <w:r>
        <w:rPr>
          <w:rFonts w:ascii="Times New Roman" w:hAnsi="Times New Roman"/>
          <w:b/>
          <w:color w:val="000000"/>
          <w:sz w:val="23"/>
        </w:rPr>
        <w:t>2.4 Conformal Prediction &amp; Economic Cost-Loss Theory</w:t>
      </w:r>
    </w:p>
    <w:p>
      <w:pPr>
        <w:spacing w:before="0" w:after="120" w:line="288" w:lineRule="auto"/>
        <w:jc w:val="both"/>
      </w:pPr>
      <w:r>
        <w:rPr>
          <w:rFonts w:ascii="Times New Roman" w:hAnsi="Times New Roman"/>
          <w:b w:val="0"/>
          <w:i w:val="0"/>
          <w:color w:val="000000"/>
          <w:sz w:val="22"/>
        </w:rPr>
        <w:t>Standard deep neural networks are notoriously overconfident and poorly calibrated under severe distribution shifts. Conformal prediction (Vovk et al., 2005) provides a rigorous mathematical framework for uncertainty quantification, converting heuristic point predictions into finite-sample valid prediction sets guaranteeing exact coverage (1 - epsilon) without parametric assumptions. In operational decision theory, Richardson (2000) formulated the relative economic value framework V(C/L), quantifying the percentage of unmitigated losses saved by a risk-averse user who takes protective actions based on calibrated probability thresholds.</w:t>
      </w:r>
    </w:p>
    <w:p>
      <w:pPr>
        <w:keepNext/>
        <w:spacing w:before="240" w:after="80"/>
        <w:jc w:val="left"/>
      </w:pPr>
      <w:r>
        <w:rPr>
          <w:rFonts w:ascii="Times New Roman" w:hAnsi="Times New Roman"/>
          <w:b/>
          <w:color w:val="000000"/>
          <w:sz w:val="23"/>
        </w:rPr>
        <w:t>2.5 Summary of Gaps in Existing Literature</w:t>
      </w:r>
    </w:p>
    <w:p>
      <w:pPr>
        <w:spacing w:before="0" w:after="80" w:line="276" w:lineRule="auto"/>
        <w:ind w:left="360"/>
      </w:pPr>
      <w:r>
        <w:rPr>
          <w:rFonts w:ascii="Times New Roman" w:hAnsi="Times New Roman"/>
          <w:b/>
          <w:sz w:val="22"/>
        </w:rPr>
        <w:t xml:space="preserve">* </w:t>
      </w:r>
      <w:r>
        <w:rPr>
          <w:rFonts w:ascii="Times New Roman" w:hAnsi="Times New Roman"/>
          <w:b/>
          <w:sz w:val="22"/>
        </w:rPr>
        <w:t>Spectral Disconnection</w:t>
      </w:r>
      <w:r>
        <w:rPr>
          <w:rFonts w:ascii="Times New Roman" w:hAnsi="Times New Roman"/>
          <w:sz w:val="22"/>
        </w:rPr>
        <w:t>: Existing ML models treat multi-band X-ray data as uncoupled time-series, ignoring cross-sensor physical coupling.</w:t>
      </w:r>
    </w:p>
    <w:p>
      <w:pPr>
        <w:spacing w:before="0" w:after="80" w:line="276" w:lineRule="auto"/>
        <w:ind w:left="360"/>
      </w:pPr>
      <w:r>
        <w:rPr>
          <w:rFonts w:ascii="Times New Roman" w:hAnsi="Times New Roman"/>
          <w:b/>
          <w:sz w:val="22"/>
        </w:rPr>
        <w:t xml:space="preserve">* </w:t>
      </w:r>
      <w:r>
        <w:rPr>
          <w:rFonts w:ascii="Times New Roman" w:hAnsi="Times New Roman"/>
          <w:b/>
          <w:sz w:val="22"/>
        </w:rPr>
        <w:t>Absence of Physics Inductive Bias</w:t>
      </w:r>
      <w:r>
        <w:rPr>
          <w:rFonts w:ascii="Times New Roman" w:hAnsi="Times New Roman"/>
          <w:sz w:val="22"/>
        </w:rPr>
        <w:t>: State-of-the-art models operate as unconstrained black boxes, violating energy conservation.</w:t>
      </w:r>
    </w:p>
    <w:p>
      <w:pPr>
        <w:spacing w:before="0" w:after="80" w:line="276" w:lineRule="auto"/>
        <w:ind w:left="360"/>
      </w:pPr>
      <w:r>
        <w:rPr>
          <w:rFonts w:ascii="Times New Roman" w:hAnsi="Times New Roman"/>
          <w:b/>
          <w:sz w:val="22"/>
        </w:rPr>
        <w:t xml:space="preserve">* </w:t>
      </w:r>
      <w:r>
        <w:rPr>
          <w:rFonts w:ascii="Times New Roman" w:hAnsi="Times New Roman"/>
          <w:b/>
          <w:sz w:val="22"/>
        </w:rPr>
        <w:t>Uncalibrated Confidence</w:t>
      </w:r>
      <w:r>
        <w:rPr>
          <w:rFonts w:ascii="Times New Roman" w:hAnsi="Times New Roman"/>
          <w:sz w:val="22"/>
        </w:rPr>
        <w:t>: Prior models output raw softmax scores that cannot provide mathematical guarantees required by critical space infrastructure.</w:t>
      </w:r>
    </w:p>
    <w:p>
      <w:r>
        <w:br w:type="page"/>
      </w:r>
    </w:p>
    <w:p>
      <w:pPr>
        <w:keepNext/>
        <w:spacing w:before="320" w:after="120"/>
        <w:jc w:val="left"/>
      </w:pPr>
      <w:r>
        <w:rPr>
          <w:rFonts w:ascii="Times New Roman" w:hAnsi="Times New Roman"/>
          <w:b/>
          <w:color w:val="000000"/>
          <w:sz w:val="26"/>
        </w:rPr>
        <w:t>CHAPTER 3: REQUIREMENTS ANALYSIS &amp; ML FORMULATION</w:t>
      </w:r>
    </w:p>
    <w:p>
      <w:pPr>
        <w:keepNext/>
        <w:spacing w:before="240" w:after="80"/>
        <w:jc w:val="left"/>
      </w:pPr>
      <w:r>
        <w:rPr>
          <w:rFonts w:ascii="Times New Roman" w:hAnsi="Times New Roman"/>
          <w:b/>
          <w:color w:val="000000"/>
          <w:sz w:val="23"/>
        </w:rPr>
        <w:t>3.1 Hardware and Software Environment Specifications</w:t>
      </w:r>
    </w:p>
    <w:p>
      <w:pPr>
        <w:spacing w:before="0" w:after="80" w:line="276" w:lineRule="auto"/>
        <w:ind w:left="360"/>
      </w:pPr>
      <w:r>
        <w:rPr>
          <w:rFonts w:ascii="Times New Roman" w:hAnsi="Times New Roman"/>
          <w:b/>
          <w:sz w:val="22"/>
        </w:rPr>
        <w:t xml:space="preserve">* </w:t>
      </w:r>
      <w:r>
        <w:rPr>
          <w:rFonts w:ascii="Times New Roman" w:hAnsi="Times New Roman"/>
          <w:b/>
          <w:sz w:val="22"/>
        </w:rPr>
        <w:t>Operating System</w:t>
      </w:r>
      <w:r>
        <w:rPr>
          <w:rFonts w:ascii="Times New Roman" w:hAnsi="Times New Roman"/>
          <w:sz w:val="22"/>
        </w:rPr>
        <w:t>: Microsoft Windows 11 Enterprise (64-bit) / Ubuntu 22.04 LTS.</w:t>
      </w:r>
    </w:p>
    <w:p>
      <w:pPr>
        <w:spacing w:before="0" w:after="80" w:line="276" w:lineRule="auto"/>
        <w:ind w:left="360"/>
      </w:pPr>
      <w:r>
        <w:rPr>
          <w:rFonts w:ascii="Times New Roman" w:hAnsi="Times New Roman"/>
          <w:b/>
          <w:sz w:val="22"/>
        </w:rPr>
        <w:t xml:space="preserve">* </w:t>
      </w:r>
      <w:r>
        <w:rPr>
          <w:rFonts w:ascii="Times New Roman" w:hAnsi="Times New Roman"/>
          <w:b/>
          <w:sz w:val="22"/>
        </w:rPr>
        <w:t>Compute Hardware</w:t>
      </w:r>
      <w:r>
        <w:rPr>
          <w:rFonts w:ascii="Times New Roman" w:hAnsi="Times New Roman"/>
          <w:sz w:val="22"/>
        </w:rPr>
        <w:t>: NVIDIA RTX 4080 (16 GB VRAM), 64 GB DDR5 System RAM, Intel Core i9-13900K.</w:t>
      </w:r>
    </w:p>
    <w:p>
      <w:pPr>
        <w:spacing w:before="0" w:after="80" w:line="276" w:lineRule="auto"/>
        <w:ind w:left="360"/>
      </w:pPr>
      <w:r>
        <w:rPr>
          <w:rFonts w:ascii="Times New Roman" w:hAnsi="Times New Roman"/>
          <w:b/>
          <w:sz w:val="22"/>
        </w:rPr>
        <w:t xml:space="preserve">* </w:t>
      </w:r>
      <w:r>
        <w:rPr>
          <w:rFonts w:ascii="Times New Roman" w:hAnsi="Times New Roman"/>
          <w:b/>
          <w:sz w:val="22"/>
        </w:rPr>
        <w:t>Deep Learning Stack</w:t>
      </w:r>
      <w:r>
        <w:rPr>
          <w:rFonts w:ascii="Times New Roman" w:hAnsi="Times New Roman"/>
          <w:sz w:val="22"/>
        </w:rPr>
        <w:t>: PyTorch 2.4.0, PyTorch Geometric 2.5.0, CUDA 12.4, cuDNN 9.1.</w:t>
      </w:r>
    </w:p>
    <w:p>
      <w:pPr>
        <w:spacing w:before="0" w:after="80" w:line="276" w:lineRule="auto"/>
        <w:ind w:left="360"/>
      </w:pPr>
      <w:r>
        <w:rPr>
          <w:rFonts w:ascii="Times New Roman" w:hAnsi="Times New Roman"/>
          <w:b/>
          <w:sz w:val="22"/>
        </w:rPr>
        <w:t xml:space="preserve">* </w:t>
      </w:r>
      <w:r>
        <w:rPr>
          <w:rFonts w:ascii="Times New Roman" w:hAnsi="Times New Roman"/>
          <w:b/>
          <w:sz w:val="22"/>
        </w:rPr>
        <w:t>Scientific &amp; Verification</w:t>
      </w:r>
      <w:r>
        <w:rPr>
          <w:rFonts w:ascii="Times New Roman" w:hAnsi="Times New Roman"/>
          <w:sz w:val="22"/>
        </w:rPr>
        <w:t>: Astropy 6.1, SunPy 5.1, scikit-learn 1.5, NumPy 2.0, SciPy 1.13, PyMuPDF 1.24.</w:t>
      </w:r>
    </w:p>
    <w:p>
      <w:pPr>
        <w:spacing w:before="0" w:after="80" w:line="276" w:lineRule="auto"/>
        <w:ind w:left="360"/>
      </w:pPr>
      <w:r>
        <w:rPr>
          <w:rFonts w:ascii="Times New Roman" w:hAnsi="Times New Roman"/>
          <w:b/>
          <w:sz w:val="22"/>
        </w:rPr>
        <w:t xml:space="preserve">* </w:t>
      </w:r>
      <w:r>
        <w:rPr>
          <w:rFonts w:ascii="Times New Roman" w:hAnsi="Times New Roman"/>
          <w:b/>
          <w:sz w:val="22"/>
        </w:rPr>
        <w:t>Serving Infrastructure</w:t>
      </w:r>
      <w:r>
        <w:rPr>
          <w:rFonts w:ascii="Times New Roman" w:hAnsi="Times New Roman"/>
          <w:sz w:val="22"/>
        </w:rPr>
        <w:t>: FastAPI 0.115, Uvicorn, Playwright Chromium for automated telemetry reporting.</w:t>
      </w:r>
    </w:p>
    <w:p>
      <w:pPr>
        <w:keepNext/>
        <w:spacing w:before="240" w:after="80"/>
        <w:jc w:val="left"/>
      </w:pPr>
      <w:r>
        <w:rPr>
          <w:rFonts w:ascii="Times New Roman" w:hAnsi="Times New Roman"/>
          <w:b/>
          <w:color w:val="000000"/>
          <w:sz w:val="23"/>
        </w:rPr>
        <w:t>3.2 Telemetry Ingestion Pipeline (ISSDC/PRADAN &amp; NOAA)</w:t>
      </w:r>
    </w:p>
    <w:p>
      <w:pPr>
        <w:spacing w:before="0" w:after="120" w:line="288" w:lineRule="auto"/>
        <w:jc w:val="both"/>
      </w:pPr>
      <w:r>
        <w:rPr>
          <w:rFonts w:ascii="Times New Roman" w:hAnsi="Times New Roman"/>
          <w:b w:val="0"/>
          <w:i w:val="0"/>
          <w:color w:val="000000"/>
          <w:sz w:val="22"/>
        </w:rPr>
        <w:t>The data ingestion pipeline acquires calibrated Level-2 science telemetry directly from the ISRO Indian Space Science Data Centre (ISSDC) PRADAN repository. In-orbit FITS (Flexible Image Transport System) binary tables from SoLEXS (1-15 keV) and HEL1OS (10-150 keV) are parsed, synchronized onto a unified 1.0-second UTC temporal grid, and validated against simultaneous full-disk solar flux observations from the NOAA GOES-16/18 Primary X-ray Sensor (XRS).</w:t>
      </w:r>
    </w:p>
    <w:p>
      <w:pPr>
        <w:keepNext/>
        <w:spacing w:before="240" w:after="80"/>
        <w:jc w:val="left"/>
      </w:pPr>
      <w:r>
        <w:rPr>
          <w:rFonts w:ascii="Times New Roman" w:hAnsi="Times New Roman"/>
          <w:b/>
          <w:color w:val="000000"/>
          <w:sz w:val="23"/>
        </w:rPr>
        <w:t>3.3 Data Quality Assurance Protocols (Gates F5.1 to F5.7)</w:t>
      </w:r>
    </w:p>
    <w:p>
      <w:pPr>
        <w:spacing w:before="0" w:after="120" w:line="288" w:lineRule="auto"/>
        <w:jc w:val="both"/>
      </w:pPr>
      <w:r>
        <w:rPr>
          <w:rFonts w:ascii="Times New Roman" w:hAnsi="Times New Roman"/>
          <w:b w:val="0"/>
          <w:i w:val="0"/>
          <w:color w:val="000000"/>
          <w:sz w:val="22"/>
        </w:rPr>
        <w:t>To prevent observational artifacts from corrupting machine learning training, seven deterministic quality assurance gates are enforced:</w:t>
      </w:r>
    </w:p>
    <w:p>
      <w:pPr>
        <w:spacing w:before="0" w:after="80" w:line="276" w:lineRule="auto"/>
        <w:ind w:left="360"/>
      </w:pPr>
      <w:r>
        <w:rPr>
          <w:rFonts w:ascii="Times New Roman" w:hAnsi="Times New Roman"/>
          <w:b/>
          <w:sz w:val="22"/>
        </w:rPr>
        <w:t xml:space="preserve">* </w:t>
      </w:r>
      <w:r>
        <w:rPr>
          <w:rFonts w:ascii="Times New Roman" w:hAnsi="Times New Roman"/>
          <w:b/>
          <w:sz w:val="22"/>
        </w:rPr>
        <w:t>Gate F5.1 (Cadence Validation)</w:t>
      </w:r>
      <w:r>
        <w:rPr>
          <w:rFonts w:ascii="Times New Roman" w:hAnsi="Times New Roman"/>
          <w:sz w:val="22"/>
        </w:rPr>
        <w:t>: Rejects telemetry segments where sampling intervals deviate from 1.0s +/- 0.05s.</w:t>
      </w:r>
    </w:p>
    <w:p>
      <w:pPr>
        <w:spacing w:before="0" w:after="80" w:line="276" w:lineRule="auto"/>
        <w:ind w:left="360"/>
      </w:pPr>
      <w:r>
        <w:rPr>
          <w:rFonts w:ascii="Times New Roman" w:hAnsi="Times New Roman"/>
          <w:b/>
          <w:sz w:val="22"/>
        </w:rPr>
        <w:t xml:space="preserve">* </w:t>
      </w:r>
      <w:r>
        <w:rPr>
          <w:rFonts w:ascii="Times New Roman" w:hAnsi="Times New Roman"/>
          <w:b/>
          <w:sz w:val="22"/>
        </w:rPr>
        <w:t>Gate F5.2 (Detector Non-Linearity)</w:t>
      </w:r>
      <w:r>
        <w:rPr>
          <w:rFonts w:ascii="Times New Roman" w:hAnsi="Times New Roman"/>
          <w:sz w:val="22"/>
        </w:rPr>
        <w:t>: Applies dead-time correction when count rates exceed 80,000 counts/sec on SDD sensors.</w:t>
      </w:r>
    </w:p>
    <w:p>
      <w:pPr>
        <w:spacing w:before="0" w:after="80" w:line="276" w:lineRule="auto"/>
        <w:ind w:left="360"/>
      </w:pPr>
      <w:r>
        <w:rPr>
          <w:rFonts w:ascii="Times New Roman" w:hAnsi="Times New Roman"/>
          <w:b/>
          <w:sz w:val="22"/>
        </w:rPr>
        <w:t xml:space="preserve">* </w:t>
      </w:r>
      <w:r>
        <w:rPr>
          <w:rFonts w:ascii="Times New Roman" w:hAnsi="Times New Roman"/>
          <w:b/>
          <w:sz w:val="22"/>
        </w:rPr>
        <w:t>Gate F5.3 (Particle Saturation)</w:t>
      </w:r>
      <w:r>
        <w:rPr>
          <w:rFonts w:ascii="Times New Roman" w:hAnsi="Times New Roman"/>
          <w:sz w:val="22"/>
        </w:rPr>
        <w:t>: Filters telemetry corrupted by high-energy charged particles penetrating detector shielding.</w:t>
      </w:r>
    </w:p>
    <w:p>
      <w:pPr>
        <w:spacing w:before="0" w:after="80" w:line="276" w:lineRule="auto"/>
        <w:ind w:left="360"/>
      </w:pPr>
      <w:r>
        <w:rPr>
          <w:rFonts w:ascii="Times New Roman" w:hAnsi="Times New Roman"/>
          <w:b/>
          <w:sz w:val="22"/>
        </w:rPr>
        <w:t xml:space="preserve">* </w:t>
      </w:r>
      <w:r>
        <w:rPr>
          <w:rFonts w:ascii="Times New Roman" w:hAnsi="Times New Roman"/>
          <w:b/>
          <w:sz w:val="22"/>
        </w:rPr>
        <w:t>Gate F5.4 (Zero-Inflation Refusal)</w:t>
      </w:r>
      <w:r>
        <w:rPr>
          <w:rFonts w:ascii="Times New Roman" w:hAnsi="Times New Roman"/>
          <w:sz w:val="22"/>
        </w:rPr>
        <w:t>: Rejects fitting windows where off-source zero samples exceed 90%, preventing fake artificial correlations.</w:t>
      </w:r>
    </w:p>
    <w:p>
      <w:pPr>
        <w:spacing w:before="0" w:after="80" w:line="276" w:lineRule="auto"/>
        <w:ind w:left="360"/>
      </w:pPr>
      <w:r>
        <w:rPr>
          <w:rFonts w:ascii="Times New Roman" w:hAnsi="Times New Roman"/>
          <w:b/>
          <w:sz w:val="22"/>
        </w:rPr>
        <w:t xml:space="preserve">* </w:t>
      </w:r>
      <w:r>
        <w:rPr>
          <w:rFonts w:ascii="Times New Roman" w:hAnsi="Times New Roman"/>
          <w:b/>
          <w:sz w:val="22"/>
        </w:rPr>
        <w:t>Gate F5.5 (Finite Interpolation)</w:t>
      </w:r>
      <w:r>
        <w:rPr>
          <w:rFonts w:ascii="Times New Roman" w:hAnsi="Times New Roman"/>
          <w:sz w:val="22"/>
        </w:rPr>
        <w:t>: Enforces linear interpolation strictly over finite samples with verified non-zero bounds.</w:t>
      </w:r>
    </w:p>
    <w:p>
      <w:pPr>
        <w:spacing w:before="0" w:after="80" w:line="276" w:lineRule="auto"/>
        <w:ind w:left="360"/>
      </w:pPr>
      <w:r>
        <w:rPr>
          <w:rFonts w:ascii="Times New Roman" w:hAnsi="Times New Roman"/>
          <w:b/>
          <w:sz w:val="22"/>
        </w:rPr>
        <w:t xml:space="preserve">* </w:t>
      </w:r>
      <w:r>
        <w:rPr>
          <w:rFonts w:ascii="Times New Roman" w:hAnsi="Times New Roman"/>
          <w:b/>
          <w:sz w:val="22"/>
        </w:rPr>
        <w:t>Gate F5.6 (Passband Cross-Check)</w:t>
      </w:r>
      <w:r>
        <w:rPr>
          <w:rFonts w:ascii="Times New Roman" w:hAnsi="Times New Roman"/>
          <w:sz w:val="22"/>
        </w:rPr>
        <w:t>: Verifies that hard X-ray counts exceed background noise by at least 3.0 standard deviations.</w:t>
      </w:r>
    </w:p>
    <w:p>
      <w:pPr>
        <w:spacing w:before="0" w:after="80" w:line="276" w:lineRule="auto"/>
        <w:ind w:left="360"/>
      </w:pPr>
      <w:r>
        <w:rPr>
          <w:rFonts w:ascii="Times New Roman" w:hAnsi="Times New Roman"/>
          <w:b/>
          <w:sz w:val="22"/>
        </w:rPr>
        <w:t xml:space="preserve">* </w:t>
      </w:r>
      <w:r>
        <w:rPr>
          <w:rFonts w:ascii="Times New Roman" w:hAnsi="Times New Roman"/>
          <w:b/>
          <w:sz w:val="22"/>
        </w:rPr>
        <w:t>Gate F5.7 (Timestamp Monotonicity)</w:t>
      </w:r>
      <w:r>
        <w:rPr>
          <w:rFonts w:ascii="Times New Roman" w:hAnsi="Times New Roman"/>
          <w:sz w:val="22"/>
        </w:rPr>
        <w:t>: Guarantees strictly monotonically increasing time coordinates across all synchronized instruments.</w:t>
      </w:r>
    </w:p>
    <w:p>
      <w:pPr>
        <w:keepNext/>
        <w:spacing w:before="240" w:after="80"/>
        <w:jc w:val="left"/>
      </w:pPr>
      <w:r>
        <w:rPr>
          <w:rFonts w:ascii="Times New Roman" w:hAnsi="Times New Roman"/>
          <w:b/>
          <w:color w:val="000000"/>
          <w:sz w:val="23"/>
        </w:rPr>
        <w:t>3.4 ML Evaluation Metrics and Space Weather Verification Battery</w:t>
      </w:r>
    </w:p>
    <w:p>
      <w:pPr>
        <w:spacing w:before="0" w:after="120" w:line="288" w:lineRule="auto"/>
        <w:jc w:val="both"/>
      </w:pPr>
      <w:r>
        <w:rPr>
          <w:rFonts w:ascii="Times New Roman" w:hAnsi="Times New Roman"/>
          <w:b w:val="0"/>
          <w:i w:val="0"/>
          <w:color w:val="000000"/>
          <w:sz w:val="22"/>
        </w:rPr>
        <w:t>Standard machine learning accuracy is completely uninformative in severe class imbalance. We employ standard space weather skill scores:</w:t>
      </w:r>
    </w:p>
    <w:p>
      <w:pPr>
        <w:spacing w:before="0" w:after="80" w:line="276" w:lineRule="auto"/>
        <w:ind w:left="360"/>
      </w:pPr>
      <w:r>
        <w:rPr>
          <w:rFonts w:ascii="Times New Roman" w:hAnsi="Times New Roman"/>
          <w:b/>
          <w:sz w:val="22"/>
        </w:rPr>
        <w:t xml:space="preserve">* </w:t>
      </w:r>
      <w:r>
        <w:rPr>
          <w:rFonts w:ascii="Times New Roman" w:hAnsi="Times New Roman"/>
          <w:b/>
          <w:sz w:val="22"/>
        </w:rPr>
        <w:t>True Skill Statistic (TSS)</w:t>
      </w:r>
      <w:r>
        <w:rPr>
          <w:rFonts w:ascii="Times New Roman" w:hAnsi="Times New Roman"/>
          <w:sz w:val="22"/>
        </w:rPr>
        <w:t>: TSS = Sensitivity + Specificity - 1 = (TP / (TP + FN)) - (FP / (FP + TN)). Independent of event frequency.</w:t>
      </w:r>
    </w:p>
    <w:p>
      <w:pPr>
        <w:spacing w:before="0" w:after="80" w:line="276" w:lineRule="auto"/>
        <w:ind w:left="360"/>
      </w:pPr>
      <w:r>
        <w:rPr>
          <w:rFonts w:ascii="Times New Roman" w:hAnsi="Times New Roman"/>
          <w:b/>
          <w:sz w:val="22"/>
        </w:rPr>
        <w:t xml:space="preserve">* </w:t>
      </w:r>
      <w:r>
        <w:rPr>
          <w:rFonts w:ascii="Times New Roman" w:hAnsi="Times New Roman"/>
          <w:b/>
          <w:sz w:val="22"/>
        </w:rPr>
        <w:t>Heidke Skill Score (HSS)</w:t>
      </w:r>
      <w:r>
        <w:rPr>
          <w:rFonts w:ascii="Times New Roman" w:hAnsi="Times New Roman"/>
          <w:sz w:val="22"/>
        </w:rPr>
        <w:t>: Measures accuracy relative to chance: HSS = 2(TP*TN - FP*FN) / ((TP+FN)(FN+TN) + (TP+FP)(FP+TN)).</w:t>
      </w:r>
    </w:p>
    <w:p>
      <w:pPr>
        <w:spacing w:before="0" w:after="80" w:line="276" w:lineRule="auto"/>
        <w:ind w:left="360"/>
      </w:pPr>
      <w:r>
        <w:rPr>
          <w:rFonts w:ascii="Times New Roman" w:hAnsi="Times New Roman"/>
          <w:b/>
          <w:sz w:val="22"/>
        </w:rPr>
        <w:t xml:space="preserve">* </w:t>
      </w:r>
      <w:r>
        <w:rPr>
          <w:rFonts w:ascii="Times New Roman" w:hAnsi="Times New Roman"/>
          <w:b/>
          <w:sz w:val="22"/>
        </w:rPr>
        <w:t>Brier Skill Score (BSS)</w:t>
      </w:r>
      <w:r>
        <w:rPr>
          <w:rFonts w:ascii="Times New Roman" w:hAnsi="Times New Roman"/>
          <w:sz w:val="22"/>
        </w:rPr>
        <w:t>: Quantifies probabilistic forecasting improvement over historical climatological baselines.</w:t>
      </w:r>
    </w:p>
    <w:p>
      <w:pPr>
        <w:spacing w:before="0" w:after="80" w:line="276" w:lineRule="auto"/>
        <w:ind w:left="360"/>
      </w:pPr>
      <w:r>
        <w:rPr>
          <w:rFonts w:ascii="Times New Roman" w:hAnsi="Times New Roman"/>
          <w:b/>
          <w:sz w:val="22"/>
        </w:rPr>
        <w:t xml:space="preserve">* </w:t>
      </w:r>
      <w:r>
        <w:rPr>
          <w:rFonts w:ascii="Times New Roman" w:hAnsi="Times New Roman"/>
          <w:b/>
          <w:sz w:val="22"/>
        </w:rPr>
        <w:t>Precision-Recall AUC (PR-AUC)</w:t>
      </w:r>
      <w:r>
        <w:rPr>
          <w:rFonts w:ascii="Times New Roman" w:hAnsi="Times New Roman"/>
          <w:sz w:val="22"/>
        </w:rPr>
        <w:t>: Area under the precision-recall curve, penalizing false alarms in rare-event regimes.</w:t>
      </w:r>
    </w:p>
    <w:p>
      <w:r>
        <w:br w:type="page"/>
      </w:r>
    </w:p>
    <w:p>
      <w:pPr>
        <w:keepNext/>
        <w:spacing w:before="320" w:after="120"/>
        <w:jc w:val="left"/>
      </w:pPr>
      <w:r>
        <w:rPr>
          <w:rFonts w:ascii="Times New Roman" w:hAnsi="Times New Roman"/>
          <w:b/>
          <w:color w:val="000000"/>
          <w:sz w:val="26"/>
        </w:rPr>
        <w:t>CHAPTER 4: DESIGN DESCRIPTION OF PROPOSED AI/ML SYSTEM</w:t>
      </w:r>
    </w:p>
    <w:p>
      <w:pPr>
        <w:keepNext/>
        <w:spacing w:before="240" w:after="80"/>
        <w:jc w:val="left"/>
      </w:pPr>
      <w:r>
        <w:rPr>
          <w:rFonts w:ascii="Times New Roman" w:hAnsi="Times New Roman"/>
          <w:b/>
          <w:color w:val="000000"/>
          <w:sz w:val="23"/>
        </w:rPr>
        <w:t>4.1 End-to-End Deep Learning Architecture</w:t>
      </w:r>
    </w:p>
    <w:p>
      <w:pPr>
        <w:spacing w:before="0" w:after="120" w:line="288" w:lineRule="auto"/>
        <w:jc w:val="both"/>
      </w:pPr>
      <w:r>
        <w:rPr>
          <w:rFonts w:ascii="Times New Roman" w:hAnsi="Times New Roman"/>
          <w:b w:val="0"/>
          <w:i w:val="0"/>
          <w:color w:val="000000"/>
          <w:sz w:val="22"/>
        </w:rPr>
        <w:t>The proposed Physics-Informed Spatio-Temporal Graph Transformer (PINN ST-GT) processes streaming multi-band telemetry through four tightly integrated modules: (1) multi-spectral graph construction, (2) spatial multi-head self-attention, (3) causal temporal multi-head self-attention, and (4) dual-head multi-task output layer optimizing both class-balanced flare classification and thermodynamic PINN physics loss.</w:t>
      </w:r>
    </w:p>
    <w:p>
      <w:pPr>
        <w:keepNext/>
        <w:spacing w:before="200" w:after="80"/>
        <w:jc w:val="center"/>
      </w:pPr>
      <w:r>
        <w:drawing>
          <wp:inline xmlns:a="http://schemas.openxmlformats.org/drawingml/2006/main" xmlns:pic="http://schemas.openxmlformats.org/drawingml/2006/picture">
            <wp:extent cx="5029200" cy="2286000"/>
            <wp:docPr id="4" name="Picture 4"/>
            <wp:cNvGraphicFramePr>
              <a:graphicFrameLocks noChangeAspect="1"/>
            </wp:cNvGraphicFramePr>
            <a:graphic>
              <a:graphicData uri="http://schemas.openxmlformats.org/drawingml/2006/picture">
                <pic:pic>
                  <pic:nvPicPr>
                    <pic:cNvPr id="0" name="figure9_graph_transformer_architecture.png"/>
                    <pic:cNvPicPr/>
                  </pic:nvPicPr>
                  <pic:blipFill>
                    <a:blip r:embed="rId12"/>
                    <a:stretch>
                      <a:fillRect/>
                    </a:stretch>
                  </pic:blipFill>
                  <pic:spPr>
                    <a:xfrm>
                      <a:off x="0" y="0"/>
                      <a:ext cx="5029200" cy="2286000"/>
                    </a:xfrm>
                    <a:prstGeom prst="rect"/>
                  </pic:spPr>
                </pic:pic>
              </a:graphicData>
            </a:graphic>
          </wp:inline>
        </w:drawing>
      </w:r>
    </w:p>
    <w:p>
      <w:pPr>
        <w:spacing w:before="40" w:after="200" w:line="276" w:lineRule="auto"/>
        <w:jc w:val="center"/>
      </w:pPr>
      <w:r>
        <w:rPr>
          <w:rFonts w:ascii="Times New Roman" w:hAnsi="Times New Roman"/>
          <w:i/>
          <w:sz w:val="19"/>
        </w:rPr>
        <w:t>Figure 4.1: Spatio-Temporal Graph Transformer Architecture and Neupert PINN Multi-Task Learning Pipeline.</w:t>
      </w:r>
    </w:p>
    <w:p>
      <w:pPr>
        <w:keepNext/>
        <w:spacing w:before="240" w:after="80"/>
        <w:jc w:val="left"/>
      </w:pPr>
      <w:r>
        <w:rPr>
          <w:rFonts w:ascii="Times New Roman" w:hAnsi="Times New Roman"/>
          <w:b/>
          <w:color w:val="000000"/>
          <w:sz w:val="23"/>
        </w:rPr>
        <w:t>4.2 Multi-Spectral 5-Node Graph Formulation</w:t>
      </w:r>
    </w:p>
    <w:p>
      <w:pPr>
        <w:spacing w:before="0" w:after="120" w:line="288" w:lineRule="auto"/>
        <w:jc w:val="both"/>
      </w:pPr>
      <w:r>
        <w:rPr>
          <w:rFonts w:ascii="Times New Roman" w:hAnsi="Times New Roman"/>
          <w:b w:val="0"/>
          <w:i w:val="0"/>
          <w:color w:val="000000"/>
          <w:sz w:val="22"/>
        </w:rPr>
        <w:t>Rather than treating sensory channels as unstructured vectors, we model the multi-spectral observations as a complete graph G = (V, E), where V = {v_0, v_1, v_2, v_3, v_4} represents the five physical energy passbands:</w:t>
      </w:r>
    </w:p>
    <w:p>
      <w:pPr>
        <w:spacing w:before="0" w:after="80" w:line="276" w:lineRule="auto"/>
        <w:ind w:left="360"/>
      </w:pPr>
      <w:r>
        <w:rPr>
          <w:rFonts w:ascii="Times New Roman" w:hAnsi="Times New Roman"/>
          <w:b/>
          <w:sz w:val="22"/>
        </w:rPr>
        <w:t xml:space="preserve">* </w:t>
      </w:r>
      <w:r>
        <w:rPr>
          <w:rFonts w:ascii="Times New Roman" w:hAnsi="Times New Roman"/>
          <w:b/>
          <w:sz w:val="22"/>
        </w:rPr>
        <w:t>Node 0 (SoLEXS Low Band)</w:t>
      </w:r>
      <w:r>
        <w:rPr>
          <w:rFonts w:ascii="Times New Roman" w:hAnsi="Times New Roman"/>
          <w:sz w:val="22"/>
        </w:rPr>
        <w:t>: Thermal soft X-rays (1-5 keV) measuring early coronal loop plasma heating.</w:t>
      </w:r>
    </w:p>
    <w:p>
      <w:pPr>
        <w:spacing w:before="0" w:after="80" w:line="276" w:lineRule="auto"/>
        <w:ind w:left="360"/>
      </w:pPr>
      <w:r>
        <w:rPr>
          <w:rFonts w:ascii="Times New Roman" w:hAnsi="Times New Roman"/>
          <w:b/>
          <w:sz w:val="22"/>
        </w:rPr>
        <w:t xml:space="preserve">* </w:t>
      </w:r>
      <w:r>
        <w:rPr>
          <w:rFonts w:ascii="Times New Roman" w:hAnsi="Times New Roman"/>
          <w:b/>
          <w:sz w:val="22"/>
        </w:rPr>
        <w:t>Node 1 (SoLEXS High Band)</w:t>
      </w:r>
      <w:r>
        <w:rPr>
          <w:rFonts w:ascii="Times New Roman" w:hAnsi="Times New Roman"/>
          <w:sz w:val="22"/>
        </w:rPr>
        <w:t>: Thermal soft X-rays (5-15 keV) measuring peak evaporative flare emission.</w:t>
      </w:r>
    </w:p>
    <w:p>
      <w:pPr>
        <w:spacing w:before="0" w:after="80" w:line="276" w:lineRule="auto"/>
        <w:ind w:left="360"/>
      </w:pPr>
      <w:r>
        <w:rPr>
          <w:rFonts w:ascii="Times New Roman" w:hAnsi="Times New Roman"/>
          <w:b/>
          <w:sz w:val="22"/>
        </w:rPr>
        <w:t xml:space="preserve">* </w:t>
      </w:r>
      <w:r>
        <w:rPr>
          <w:rFonts w:ascii="Times New Roman" w:hAnsi="Times New Roman"/>
          <w:b/>
          <w:sz w:val="22"/>
        </w:rPr>
        <w:t>Node 2 (HEL1OS CdTe Low Band)</w:t>
      </w:r>
      <w:r>
        <w:rPr>
          <w:rFonts w:ascii="Times New Roman" w:hAnsi="Times New Roman"/>
          <w:sz w:val="22"/>
        </w:rPr>
        <w:t>: Transition hard X-rays (30-40 keV) capturing non-thermal electron beam onset.</w:t>
      </w:r>
    </w:p>
    <w:p>
      <w:pPr>
        <w:spacing w:before="0" w:after="80" w:line="276" w:lineRule="auto"/>
        <w:ind w:left="360"/>
      </w:pPr>
      <w:r>
        <w:rPr>
          <w:rFonts w:ascii="Times New Roman" w:hAnsi="Times New Roman"/>
          <w:b/>
          <w:sz w:val="22"/>
        </w:rPr>
        <w:t xml:space="preserve">* </w:t>
      </w:r>
      <w:r>
        <w:rPr>
          <w:rFonts w:ascii="Times New Roman" w:hAnsi="Times New Roman"/>
          <w:b/>
          <w:sz w:val="22"/>
        </w:rPr>
        <w:t>Node 3 (HEL1OS CdTe High Band)</w:t>
      </w:r>
      <w:r>
        <w:rPr>
          <w:rFonts w:ascii="Times New Roman" w:hAnsi="Times New Roman"/>
          <w:sz w:val="22"/>
        </w:rPr>
        <w:t>: Impulsive hard X-rays (40-60 keV) capturing direct thick-target bremsstrahlung.</w:t>
      </w:r>
    </w:p>
    <w:p>
      <w:pPr>
        <w:spacing w:before="0" w:after="80" w:line="276" w:lineRule="auto"/>
        <w:ind w:left="360"/>
      </w:pPr>
      <w:r>
        <w:rPr>
          <w:rFonts w:ascii="Times New Roman" w:hAnsi="Times New Roman"/>
          <w:b/>
          <w:sz w:val="22"/>
        </w:rPr>
        <w:t xml:space="preserve">* </w:t>
      </w:r>
      <w:r>
        <w:rPr>
          <w:rFonts w:ascii="Times New Roman" w:hAnsi="Times New Roman"/>
          <w:b/>
          <w:sz w:val="22"/>
        </w:rPr>
        <w:t>Node 4 (HEL1OS CZT Band)</w:t>
      </w:r>
      <w:r>
        <w:rPr>
          <w:rFonts w:ascii="Times New Roman" w:hAnsi="Times New Roman"/>
          <w:sz w:val="22"/>
        </w:rPr>
        <w:t>: Extreme hard X-rays (60-150 keV) capturing relativistic electron acceleration.</w:t>
      </w:r>
    </w:p>
    <w:p>
      <w:pPr>
        <w:keepNext/>
        <w:spacing w:before="240" w:after="80"/>
        <w:jc w:val="left"/>
      </w:pPr>
      <w:r>
        <w:rPr>
          <w:rFonts w:ascii="Times New Roman" w:hAnsi="Times New Roman"/>
          <w:b/>
          <w:color w:val="000000"/>
          <w:sz w:val="23"/>
        </w:rPr>
        <w:t>4.3 Spatio-Temporal Graph Transformer Neural Network</w:t>
      </w:r>
    </w:p>
    <w:p>
      <w:pPr>
        <w:spacing w:before="0" w:after="120" w:line="288" w:lineRule="auto"/>
        <w:jc w:val="both"/>
      </w:pPr>
      <w:r>
        <w:rPr>
          <w:rFonts w:ascii="Times New Roman" w:hAnsi="Times New Roman"/>
          <w:b w:val="0"/>
          <w:i w:val="0"/>
          <w:color w:val="000000"/>
          <w:sz w:val="22"/>
        </w:rPr>
        <w:t>Given node feature tensor X in R^(B x T x N x D), the network applies two decoupled attention mechanisms. Spatial multi-head self-attention computes dynamic cross-energy coupling weights, allowing the model to adaptively infer energy transfer between non-thermal and thermal bands. Subsequently, causal temporal multi-head self-attention computes dependencies across time steps, enforcing physical causality where only past precursor windows can influence future flare states:</w:t>
      </w:r>
    </w:p>
    <w:p>
      <w:pPr>
        <w:spacing w:before="80" w:after="120" w:line="288" w:lineRule="auto"/>
        <w:jc w:val="center"/>
      </w:pPr>
      <w:r>
        <w:rPr>
          <w:rFonts w:ascii="Times New Roman" w:hAnsi="Times New Roman"/>
          <w:b/>
          <w:i w:val="0"/>
          <w:color w:val="000000"/>
          <w:sz w:val="21"/>
        </w:rPr>
        <w:t>Attn(Q, K, V) = softmax( (Q * K^T) / sqrt(d_k) + M_causal ) * V</w:t>
      </w:r>
    </w:p>
    <w:p>
      <w:pPr>
        <w:spacing w:before="0" w:after="120" w:line="288" w:lineRule="auto"/>
        <w:jc w:val="both"/>
      </w:pPr>
      <w:r>
        <w:rPr>
          <w:rFonts w:ascii="Times New Roman" w:hAnsi="Times New Roman"/>
          <w:b w:val="0"/>
          <w:i w:val="0"/>
          <w:color w:val="000000"/>
          <w:sz w:val="22"/>
        </w:rPr>
        <w:t>where M_causal is an upper-triangular masking matrix ensuring that future information is never leaked during training or inference.</w:t>
      </w:r>
    </w:p>
    <w:p>
      <w:pPr>
        <w:keepNext/>
        <w:spacing w:before="240" w:after="80"/>
        <w:jc w:val="left"/>
      </w:pPr>
      <w:r>
        <w:rPr>
          <w:rFonts w:ascii="Times New Roman" w:hAnsi="Times New Roman"/>
          <w:b/>
          <w:color w:val="000000"/>
          <w:sz w:val="23"/>
        </w:rPr>
        <w:t>4.4 Differentiable Physics-Informed Loss (PINN Inductive Bias)</w:t>
      </w:r>
    </w:p>
    <w:p>
      <w:pPr>
        <w:spacing w:before="0" w:after="120" w:line="288" w:lineRule="auto"/>
        <w:jc w:val="both"/>
      </w:pPr>
      <w:r>
        <w:rPr>
          <w:rFonts w:ascii="Times New Roman" w:hAnsi="Times New Roman"/>
          <w:b w:val="0"/>
          <w:i w:val="0"/>
          <w:color w:val="000000"/>
          <w:sz w:val="22"/>
        </w:rPr>
        <w:t>The network features a secondary PINN regression head that predicts the temporal derivative of the soft X-ray flux d(F_SXR)/dt. The thermodynamic loss is formulated as:</w:t>
      </w:r>
    </w:p>
    <w:p>
      <w:pPr>
        <w:spacing w:before="80" w:after="120" w:line="288" w:lineRule="auto"/>
        <w:jc w:val="center"/>
      </w:pPr>
      <w:r>
        <w:rPr>
          <w:rFonts w:ascii="Times New Roman" w:hAnsi="Times New Roman"/>
          <w:b/>
          <w:i w:val="0"/>
          <w:color w:val="000000"/>
          <w:sz w:val="21"/>
        </w:rPr>
        <w:t>L_PINN = || d(F_SXR)/dt - (alpha * F_HXR(t) - beta * F_SXR(t)) ||^2</w:t>
      </w:r>
    </w:p>
    <w:p>
      <w:pPr>
        <w:spacing w:before="0" w:after="120" w:line="288" w:lineRule="auto"/>
        <w:jc w:val="both"/>
      </w:pPr>
      <w:r>
        <w:rPr>
          <w:rFonts w:ascii="Times New Roman" w:hAnsi="Times New Roman"/>
          <w:b w:val="0"/>
          <w:i w:val="0"/>
          <w:color w:val="000000"/>
          <w:sz w:val="22"/>
        </w:rPr>
        <w:t>where alpha and beta are learnable positive parameters constrained via positive clamping: alpha = clamp(raw_alpha, 0.01, 1.0) and beta = clamp(raw_beta, 0.001, 0.50). This inductive bias guarantees that the model learns physically consistent coronal cooling timescales tau = 1/beta rather than fitting high-frequency telemetry noise.</w:t>
      </w:r>
    </w:p>
    <w:p>
      <w:pPr>
        <w:keepNext/>
        <w:spacing w:before="240" w:after="80"/>
        <w:jc w:val="left"/>
      </w:pPr>
      <w:r>
        <w:rPr>
          <w:rFonts w:ascii="Times New Roman" w:hAnsi="Times New Roman"/>
          <w:b/>
          <w:color w:val="000000"/>
          <w:sz w:val="23"/>
        </w:rPr>
        <w:t>4.5 Mondrian Conformal Prediction Calibration</w:t>
      </w:r>
    </w:p>
    <w:p>
      <w:pPr>
        <w:spacing w:before="0" w:after="120" w:line="288" w:lineRule="auto"/>
        <w:jc w:val="both"/>
      </w:pPr>
      <w:r>
        <w:rPr>
          <w:rFonts w:ascii="Times New Roman" w:hAnsi="Times New Roman"/>
          <w:b w:val="0"/>
          <w:i w:val="0"/>
          <w:color w:val="000000"/>
          <w:sz w:val="22"/>
        </w:rPr>
        <w:t>To provide rigorous uncertainty guarantees, non-conformity scores s_i = 1 - f(x_i)_{y_i} are computed across a dedicated calibration split. For a specified significance level epsilon = 0.05, the conformal quantile q_hat is extracted. During live inference, prediction sets are constructed guaranteeing finite-sample marginal coverage P(Y in C(X)) &gt;= 95%, completely eliminating overconfident false alarms.</w:t>
      </w:r>
    </w:p>
    <w:p>
      <w:pPr>
        <w:keepNext/>
        <w:spacing w:before="240" w:after="80"/>
        <w:jc w:val="left"/>
      </w:pPr>
      <w:r>
        <w:rPr>
          <w:rFonts w:ascii="Times New Roman" w:hAnsi="Times New Roman"/>
          <w:b/>
          <w:color w:val="000000"/>
          <w:sz w:val="23"/>
        </w:rPr>
        <w:t>4.6 Richardson Economic Cost-Loss Decision Framework</w:t>
      </w:r>
    </w:p>
    <w:p>
      <w:pPr>
        <w:spacing w:before="0" w:after="120" w:line="288" w:lineRule="auto"/>
        <w:jc w:val="both"/>
      </w:pPr>
      <w:r>
        <w:rPr>
          <w:rFonts w:ascii="Times New Roman" w:hAnsi="Times New Roman"/>
          <w:b w:val="0"/>
          <w:i w:val="0"/>
          <w:color w:val="000000"/>
          <w:sz w:val="22"/>
        </w:rPr>
        <w:t>In operational space weather forecasting, a forecast is valuable only if it reduces decision costs. Using the Richardson (2000) framework, a user characterized by cost-loss ratio alpha = C/L derives relative economic value:</w:t>
      </w:r>
    </w:p>
    <w:p>
      <w:pPr>
        <w:spacing w:before="80" w:after="120" w:line="288" w:lineRule="auto"/>
        <w:jc w:val="center"/>
      </w:pPr>
      <w:r>
        <w:rPr>
          <w:rFonts w:ascii="Times New Roman" w:hAnsi="Times New Roman"/>
          <w:b/>
          <w:i w:val="0"/>
          <w:color w:val="000000"/>
          <w:sz w:val="19"/>
        </w:rPr>
        <w:t>V(alpha) = (min(alpha, p_base) - F*alpha*(1-p_base) - M*p_base*(1-alpha) - H*alpha*p_base) / (min(alpha, p_base) - alpha*p_base)</w:t>
      </w:r>
    </w:p>
    <w:p>
      <w:pPr>
        <w:spacing w:before="0" w:after="120" w:line="288" w:lineRule="auto"/>
        <w:jc w:val="both"/>
      </w:pPr>
      <w:r>
        <w:rPr>
          <w:rFonts w:ascii="Times New Roman" w:hAnsi="Times New Roman"/>
          <w:b w:val="0"/>
          <w:i w:val="0"/>
          <w:color w:val="000000"/>
          <w:sz w:val="22"/>
        </w:rPr>
        <w:t>where H is hit rate, F is false alarm rate, and M is miss rate, optimizing satellite operational protection decisions.</w:t>
      </w:r>
    </w:p>
    <w:p>
      <w:pPr>
        <w:keepNext/>
        <w:spacing w:before="240" w:after="80"/>
        <w:jc w:val="left"/>
      </w:pPr>
      <w:r>
        <w:rPr>
          <w:rFonts w:ascii="Times New Roman" w:hAnsi="Times New Roman"/>
          <w:b/>
          <w:color w:val="000000"/>
          <w:sz w:val="23"/>
        </w:rPr>
        <w:t>4.7 FastAPI Real-Time Streaming &amp; Operations Cockpit</w:t>
      </w:r>
    </w:p>
    <w:p>
      <w:pPr>
        <w:spacing w:before="0" w:after="120" w:line="288" w:lineRule="auto"/>
        <w:jc w:val="both"/>
      </w:pPr>
      <w:r>
        <w:rPr>
          <w:rFonts w:ascii="Times New Roman" w:hAnsi="Times New Roman"/>
          <w:b w:val="0"/>
          <w:i w:val="0"/>
          <w:color w:val="000000"/>
          <w:sz w:val="22"/>
        </w:rPr>
        <w:t>To deliver operational readiness, the trained model is encapsulated into a high-throughput FastAPI microservice capable of processing live telemetry streams with sub-12ms inference latency. The backend connects to an interactive mission operations cockpit displaying real-time multi-band lightcurves, spatial attention matrices, conformal coverage bounds, and automated constellation safeguard triggers.</w:t>
      </w:r>
    </w:p>
    <w:p>
      <w:r>
        <w:br w:type="page"/>
      </w:r>
    </w:p>
    <w:p>
      <w:pPr>
        <w:keepNext/>
        <w:spacing w:before="320" w:after="120"/>
        <w:jc w:val="left"/>
      </w:pPr>
      <w:r>
        <w:rPr>
          <w:rFonts w:ascii="Times New Roman" w:hAnsi="Times New Roman"/>
          <w:b/>
          <w:color w:val="000000"/>
          <w:sz w:val="26"/>
        </w:rPr>
        <w:t>CHAPTER 5: RESULTS AND DISCUSSIONS (AI/ML BENCHMARKS)</w:t>
      </w:r>
    </w:p>
    <w:p>
      <w:pPr>
        <w:keepNext/>
        <w:spacing w:before="240" w:after="80"/>
        <w:jc w:val="left"/>
      </w:pPr>
      <w:r>
        <w:rPr>
          <w:rFonts w:ascii="Times New Roman" w:hAnsi="Times New Roman"/>
          <w:b/>
          <w:color w:val="000000"/>
          <w:sz w:val="23"/>
        </w:rPr>
        <w:t>5.1 Empirical Verification of the Neupert Effect on Aditya-L1</w:t>
      </w:r>
    </w:p>
    <w:p>
      <w:pPr>
        <w:spacing w:before="0" w:after="120" w:line="288" w:lineRule="auto"/>
        <w:jc w:val="both"/>
      </w:pPr>
      <w:r>
        <w:rPr>
          <w:rFonts w:ascii="Times New Roman" w:hAnsi="Times New Roman"/>
          <w:b w:val="0"/>
          <w:i w:val="0"/>
          <w:color w:val="000000"/>
          <w:sz w:val="22"/>
        </w:rPr>
        <w:t>We analyzed four major in-orbit solar flare events observed by Aditya-L1: SOL2024-05-08 (X1.0), SOL2024-05-10 (X3.98), SOL2024-05-11 (X5.8), and the held-out historic SOL2024-10-03 (X9.0) superflare. Across all four events, synchronized lightcurves demonstrate strong Neupert correlation between HEL1OS hard X-ray bursts and the derivative of SoLEXS soft X-ray emissions.</w:t>
      </w:r>
    </w:p>
    <w:p>
      <w:pPr>
        <w:keepNext/>
        <w:spacing w:before="200" w:after="80"/>
        <w:jc w:val="center"/>
      </w:pPr>
      <w:r>
        <w:drawing>
          <wp:inline xmlns:a="http://schemas.openxmlformats.org/drawingml/2006/main" xmlns:pic="http://schemas.openxmlformats.org/drawingml/2006/picture">
            <wp:extent cx="5029200" cy="3407891"/>
            <wp:docPr id="5" name="Picture 5"/>
            <wp:cNvGraphicFramePr>
              <a:graphicFrameLocks noChangeAspect="1"/>
            </wp:cNvGraphicFramePr>
            <a:graphic>
              <a:graphicData uri="http://schemas.openxmlformats.org/drawingml/2006/picture">
                <pic:pic>
                  <pic:nvPicPr>
                    <pic:cNvPr id="0" name="figure5_lightcurves.png"/>
                    <pic:cNvPicPr/>
                  </pic:nvPicPr>
                  <pic:blipFill>
                    <a:blip r:embed="rId13"/>
                    <a:stretch>
                      <a:fillRect/>
                    </a:stretch>
                  </pic:blipFill>
                  <pic:spPr>
                    <a:xfrm>
                      <a:off x="0" y="0"/>
                      <a:ext cx="5029200" cy="3407891"/>
                    </a:xfrm>
                    <a:prstGeom prst="rect"/>
                  </pic:spPr>
                </pic:pic>
              </a:graphicData>
            </a:graphic>
          </wp:inline>
        </w:drawing>
      </w:r>
    </w:p>
    <w:p>
      <w:pPr>
        <w:spacing w:before="40" w:after="200" w:line="276" w:lineRule="auto"/>
        <w:jc w:val="center"/>
      </w:pPr>
      <w:r>
        <w:rPr>
          <w:rFonts w:ascii="Times New Roman" w:hAnsi="Times New Roman"/>
          <w:i/>
          <w:sz w:val="19"/>
        </w:rPr>
        <w:t>Figure 5.1: Synchronized Lightcurves for the Four Major X-Class Solar Flares Observed by Aditya-L1 (SoLEXS &amp; HEL1OS).</w:t>
      </w:r>
    </w:p>
    <w:p>
      <w:pPr>
        <w:keepNext/>
        <w:spacing w:before="200" w:after="80"/>
        <w:jc w:val="center"/>
      </w:pPr>
      <w:r>
        <w:drawing>
          <wp:inline xmlns:a="http://schemas.openxmlformats.org/drawingml/2006/main" xmlns:pic="http://schemas.openxmlformats.org/drawingml/2006/picture">
            <wp:extent cx="5029200" cy="4195639"/>
            <wp:docPr id="6" name="Picture 6"/>
            <wp:cNvGraphicFramePr>
              <a:graphicFrameLocks noChangeAspect="1"/>
            </wp:cNvGraphicFramePr>
            <a:graphic>
              <a:graphicData uri="http://schemas.openxmlformats.org/drawingml/2006/picture">
                <pic:pic>
                  <pic:nvPicPr>
                    <pic:cNvPr id="0" name="figure7_neupert_scatter.png"/>
                    <pic:cNvPicPr/>
                  </pic:nvPicPr>
                  <pic:blipFill>
                    <a:blip r:embed="rId14"/>
                    <a:stretch>
                      <a:fillRect/>
                    </a:stretch>
                  </pic:blipFill>
                  <pic:spPr>
                    <a:xfrm>
                      <a:off x="0" y="0"/>
                      <a:ext cx="5029200" cy="4195639"/>
                    </a:xfrm>
                    <a:prstGeom prst="rect"/>
                  </pic:spPr>
                </pic:pic>
              </a:graphicData>
            </a:graphic>
          </wp:inline>
        </w:drawing>
      </w:r>
    </w:p>
    <w:p>
      <w:pPr>
        <w:spacing w:before="40" w:after="200" w:line="276" w:lineRule="auto"/>
        <w:jc w:val="center"/>
      </w:pPr>
      <w:r>
        <w:rPr>
          <w:rFonts w:ascii="Times New Roman" w:hAnsi="Times New Roman"/>
          <w:i/>
          <w:sz w:val="19"/>
        </w:rPr>
        <w:t>Figure 5.2: Empirical Neupert Scatter Plots (Soft X-Ray Flux vs. Direct and Time-Integrated Hard X-Ray Irradiance).</w:t>
      </w:r>
    </w:p>
    <w:p>
      <w:pPr>
        <w:keepNext/>
      </w:pPr>
      <w:r>
        <w:rPr>
          <w:b/>
          <w:sz w:val="20"/>
        </w:rPr>
        <w:t>Table 5.1: Empirical Neupert Effect Verification Across Aditya-L1 Flare Catalogue</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one"/>
          <w:right w:val="none"/>
          <w:insideV w:val="none"/>
        </w:tblBorders>
      </w:tblPr>
      <w:tblGrid>
        <w:gridCol w:w="1500"/>
        <w:gridCol w:w="1500"/>
        <w:gridCol w:w="1500"/>
        <w:gridCol w:w="1500"/>
        <w:gridCol w:w="1500"/>
        <w:gridCol w:w="1500"/>
      </w:tblGrid>
      <w:tr>
        <w:trPr>
          <w:cantSplit/>
        </w:trPr>
        <w:tc>
          <w:tcPr>
            <w:tcW w:type="dxa" w:w="1500"/>
            <w:tcMar>
              <w:top w:w="30" w:type="dxa"/>
              <w:bottom w:w="30" w:type="dxa"/>
              <w:left w:w="50" w:type="dxa"/>
              <w:right w:w="50" w:type="dxa"/>
            </w:tcMar>
            <w:shd w:fill="EAECEE"/>
          </w:tcPr>
          <w:p>
            <w:pPr>
              <w:jc w:val="center"/>
            </w:pPr>
            <w:r>
              <w:rPr>
                <w:b/>
                <w:sz w:val="17"/>
              </w:rPr>
              <w:t>Flare Event</w:t>
            </w:r>
          </w:p>
        </w:tc>
        <w:tc>
          <w:tcPr>
            <w:tcW w:type="dxa" w:w="1500"/>
            <w:tcMar>
              <w:top w:w="30" w:type="dxa"/>
              <w:bottom w:w="30" w:type="dxa"/>
              <w:left w:w="50" w:type="dxa"/>
              <w:right w:w="50" w:type="dxa"/>
            </w:tcMar>
            <w:shd w:fill="EAECEE"/>
          </w:tcPr>
          <w:p>
            <w:pPr>
              <w:jc w:val="center"/>
            </w:pPr>
            <w:r>
              <w:rPr>
                <w:b/>
                <w:sz w:val="17"/>
              </w:rPr>
              <w:t>GOES Class</w:t>
            </w:r>
          </w:p>
        </w:tc>
        <w:tc>
          <w:tcPr>
            <w:tcW w:type="dxa" w:w="1500"/>
            <w:tcMar>
              <w:top w:w="30" w:type="dxa"/>
              <w:bottom w:w="30" w:type="dxa"/>
              <w:left w:w="50" w:type="dxa"/>
              <w:right w:w="50" w:type="dxa"/>
            </w:tcMar>
            <w:shd w:fill="EAECEE"/>
          </w:tcPr>
          <w:p>
            <w:pPr>
              <w:jc w:val="center"/>
            </w:pPr>
            <w:r>
              <w:rPr>
                <w:b/>
                <w:sz w:val="17"/>
              </w:rPr>
              <w:t>Peak UT</w:t>
            </w:r>
          </w:p>
        </w:tc>
        <w:tc>
          <w:tcPr>
            <w:tcW w:type="dxa" w:w="1500"/>
            <w:tcMar>
              <w:top w:w="30" w:type="dxa"/>
              <w:bottom w:w="30" w:type="dxa"/>
              <w:left w:w="50" w:type="dxa"/>
              <w:right w:w="50" w:type="dxa"/>
            </w:tcMar>
            <w:shd w:fill="EAECEE"/>
          </w:tcPr>
          <w:p>
            <w:pPr>
              <w:jc w:val="center"/>
            </w:pPr>
            <w:r>
              <w:rPr>
                <w:b/>
                <w:sz w:val="17"/>
              </w:rPr>
              <w:t>Raw r</w:t>
            </w:r>
          </w:p>
        </w:tc>
        <w:tc>
          <w:tcPr>
            <w:tcW w:type="dxa" w:w="1500"/>
            <w:tcMar>
              <w:top w:w="30" w:type="dxa"/>
              <w:bottom w:w="30" w:type="dxa"/>
              <w:left w:w="50" w:type="dxa"/>
              <w:right w:w="50" w:type="dxa"/>
            </w:tcMar>
            <w:shd w:fill="EAECEE"/>
          </w:tcPr>
          <w:p>
            <w:pPr>
              <w:jc w:val="center"/>
            </w:pPr>
            <w:r>
              <w:rPr>
                <w:b/>
                <w:sz w:val="17"/>
              </w:rPr>
              <w:t>Integrated r</w:t>
            </w:r>
          </w:p>
        </w:tc>
        <w:tc>
          <w:tcPr>
            <w:tcW w:type="dxa" w:w="1500"/>
            <w:tcMar>
              <w:top w:w="30" w:type="dxa"/>
              <w:bottom w:w="30" w:type="dxa"/>
              <w:left w:w="50" w:type="dxa"/>
              <w:right w:w="50" w:type="dxa"/>
            </w:tcMar>
            <w:shd w:fill="EAECEE"/>
          </w:tcPr>
          <w:p>
            <w:pPr>
              <w:jc w:val="center"/>
            </w:pPr>
            <w:r>
              <w:rPr>
                <w:b/>
                <w:sz w:val="17"/>
              </w:rPr>
              <w:t>Lag (s)</w:t>
            </w:r>
          </w:p>
        </w:tc>
      </w:tr>
      <w:tr>
        <w:trPr>
          <w:cantSplit/>
        </w:trPr>
        <w:tc>
          <w:tcPr>
            <w:tcW w:type="dxa" w:w="1500"/>
            <w:tcMar>
              <w:top w:w="30" w:type="dxa"/>
              <w:bottom w:w="30" w:type="dxa"/>
              <w:left w:w="50" w:type="dxa"/>
              <w:right w:w="50" w:type="dxa"/>
            </w:tcMar>
          </w:tcPr>
          <w:p>
            <w:pPr>
              <w:jc w:val="center"/>
            </w:pPr>
            <w:r>
              <w:rPr>
                <w:sz w:val="17"/>
              </w:rPr>
              <w:t>SOL2024-05-08</w:t>
            </w:r>
          </w:p>
        </w:tc>
        <w:tc>
          <w:tcPr>
            <w:tcW w:type="dxa" w:w="1500"/>
            <w:tcMar>
              <w:top w:w="30" w:type="dxa"/>
              <w:bottom w:w="30" w:type="dxa"/>
              <w:left w:w="50" w:type="dxa"/>
              <w:right w:w="50" w:type="dxa"/>
            </w:tcMar>
          </w:tcPr>
          <w:p>
            <w:pPr>
              <w:jc w:val="center"/>
            </w:pPr>
            <w:r>
              <w:rPr>
                <w:sz w:val="17"/>
              </w:rPr>
              <w:t>X1.0</w:t>
            </w:r>
          </w:p>
        </w:tc>
        <w:tc>
          <w:tcPr>
            <w:tcW w:type="dxa" w:w="1500"/>
            <w:tcMar>
              <w:top w:w="30" w:type="dxa"/>
              <w:bottom w:w="30" w:type="dxa"/>
              <w:left w:w="50" w:type="dxa"/>
              <w:right w:w="50" w:type="dxa"/>
            </w:tcMar>
          </w:tcPr>
          <w:p>
            <w:pPr>
              <w:jc w:val="center"/>
            </w:pPr>
            <w:r>
              <w:rPr>
                <w:sz w:val="17"/>
              </w:rPr>
              <w:t>01:41</w:t>
            </w:r>
          </w:p>
        </w:tc>
        <w:tc>
          <w:tcPr>
            <w:tcW w:type="dxa" w:w="1500"/>
            <w:tcMar>
              <w:top w:w="30" w:type="dxa"/>
              <w:bottom w:w="30" w:type="dxa"/>
              <w:left w:w="50" w:type="dxa"/>
              <w:right w:w="50" w:type="dxa"/>
            </w:tcMar>
          </w:tcPr>
          <w:p>
            <w:pPr>
              <w:jc w:val="center"/>
            </w:pPr>
            <w:r>
              <w:rPr>
                <w:sz w:val="17"/>
              </w:rPr>
              <w:t>0.412</w:t>
            </w:r>
          </w:p>
        </w:tc>
        <w:tc>
          <w:tcPr>
            <w:tcW w:type="dxa" w:w="1500"/>
            <w:tcMar>
              <w:top w:w="30" w:type="dxa"/>
              <w:bottom w:w="30" w:type="dxa"/>
              <w:left w:w="50" w:type="dxa"/>
              <w:right w:w="50" w:type="dxa"/>
            </w:tcMar>
          </w:tcPr>
          <w:p>
            <w:pPr>
              <w:jc w:val="center"/>
            </w:pPr>
            <w:r>
              <w:rPr>
                <w:sz w:val="17"/>
              </w:rPr>
              <w:t>0.934</w:t>
            </w:r>
          </w:p>
        </w:tc>
        <w:tc>
          <w:tcPr>
            <w:tcW w:type="dxa" w:w="1500"/>
            <w:tcMar>
              <w:top w:w="30" w:type="dxa"/>
              <w:bottom w:w="30" w:type="dxa"/>
              <w:left w:w="50" w:type="dxa"/>
              <w:right w:w="50" w:type="dxa"/>
            </w:tcMar>
          </w:tcPr>
          <w:p>
            <w:pPr>
              <w:jc w:val="center"/>
            </w:pPr>
            <w:r>
              <w:rPr>
                <w:sz w:val="17"/>
              </w:rPr>
              <w:t>+14.0</w:t>
            </w:r>
          </w:p>
        </w:tc>
      </w:tr>
      <w:tr>
        <w:trPr>
          <w:cantSplit/>
        </w:trPr>
        <w:tc>
          <w:tcPr>
            <w:tcW w:type="dxa" w:w="1500"/>
            <w:tcMar>
              <w:top w:w="30" w:type="dxa"/>
              <w:bottom w:w="30" w:type="dxa"/>
              <w:left w:w="50" w:type="dxa"/>
              <w:right w:w="50" w:type="dxa"/>
            </w:tcMar>
          </w:tcPr>
          <w:p>
            <w:pPr>
              <w:jc w:val="center"/>
            </w:pPr>
            <w:r>
              <w:rPr>
                <w:sz w:val="17"/>
              </w:rPr>
              <w:t>SOL2024-05-10</w:t>
            </w:r>
          </w:p>
        </w:tc>
        <w:tc>
          <w:tcPr>
            <w:tcW w:type="dxa" w:w="1500"/>
            <w:tcMar>
              <w:top w:w="30" w:type="dxa"/>
              <w:bottom w:w="30" w:type="dxa"/>
              <w:left w:w="50" w:type="dxa"/>
              <w:right w:w="50" w:type="dxa"/>
            </w:tcMar>
          </w:tcPr>
          <w:p>
            <w:pPr>
              <w:jc w:val="center"/>
            </w:pPr>
            <w:r>
              <w:rPr>
                <w:sz w:val="17"/>
              </w:rPr>
              <w:t>X3.98</w:t>
            </w:r>
          </w:p>
        </w:tc>
        <w:tc>
          <w:tcPr>
            <w:tcW w:type="dxa" w:w="1500"/>
            <w:tcMar>
              <w:top w:w="30" w:type="dxa"/>
              <w:bottom w:w="30" w:type="dxa"/>
              <w:left w:w="50" w:type="dxa"/>
              <w:right w:w="50" w:type="dxa"/>
            </w:tcMar>
          </w:tcPr>
          <w:p>
            <w:pPr>
              <w:jc w:val="center"/>
            </w:pPr>
            <w:r>
              <w:rPr>
                <w:sz w:val="17"/>
              </w:rPr>
              <w:t>06:54</w:t>
            </w:r>
          </w:p>
        </w:tc>
        <w:tc>
          <w:tcPr>
            <w:tcW w:type="dxa" w:w="1500"/>
            <w:tcMar>
              <w:top w:w="30" w:type="dxa"/>
              <w:bottom w:w="30" w:type="dxa"/>
              <w:left w:w="50" w:type="dxa"/>
              <w:right w:w="50" w:type="dxa"/>
            </w:tcMar>
          </w:tcPr>
          <w:p>
            <w:pPr>
              <w:jc w:val="center"/>
            </w:pPr>
            <w:r>
              <w:rPr>
                <w:sz w:val="17"/>
              </w:rPr>
              <w:t>0.489</w:t>
            </w:r>
          </w:p>
        </w:tc>
        <w:tc>
          <w:tcPr>
            <w:tcW w:type="dxa" w:w="1500"/>
            <w:tcMar>
              <w:top w:w="30" w:type="dxa"/>
              <w:bottom w:w="30" w:type="dxa"/>
              <w:left w:w="50" w:type="dxa"/>
              <w:right w:w="50" w:type="dxa"/>
            </w:tcMar>
          </w:tcPr>
          <w:p>
            <w:pPr>
              <w:jc w:val="center"/>
            </w:pPr>
            <w:r>
              <w:rPr>
                <w:sz w:val="17"/>
              </w:rPr>
              <w:t>0.961</w:t>
            </w:r>
          </w:p>
        </w:tc>
        <w:tc>
          <w:tcPr>
            <w:tcW w:type="dxa" w:w="1500"/>
            <w:tcMar>
              <w:top w:w="30" w:type="dxa"/>
              <w:bottom w:w="30" w:type="dxa"/>
              <w:left w:w="50" w:type="dxa"/>
              <w:right w:w="50" w:type="dxa"/>
            </w:tcMar>
          </w:tcPr>
          <w:p>
            <w:pPr>
              <w:jc w:val="center"/>
            </w:pPr>
            <w:r>
              <w:rPr>
                <w:sz w:val="17"/>
              </w:rPr>
              <w:t>+8.0</w:t>
            </w:r>
          </w:p>
        </w:tc>
      </w:tr>
      <w:tr>
        <w:trPr>
          <w:cantSplit/>
        </w:trPr>
        <w:tc>
          <w:tcPr>
            <w:tcW w:type="dxa" w:w="1500"/>
            <w:tcMar>
              <w:top w:w="30" w:type="dxa"/>
              <w:bottom w:w="30" w:type="dxa"/>
              <w:left w:w="50" w:type="dxa"/>
              <w:right w:w="50" w:type="dxa"/>
            </w:tcMar>
          </w:tcPr>
          <w:p>
            <w:pPr>
              <w:jc w:val="center"/>
            </w:pPr>
            <w:r>
              <w:rPr>
                <w:sz w:val="17"/>
              </w:rPr>
              <w:t>SOL2024-05-11</w:t>
            </w:r>
          </w:p>
        </w:tc>
        <w:tc>
          <w:tcPr>
            <w:tcW w:type="dxa" w:w="1500"/>
            <w:tcMar>
              <w:top w:w="30" w:type="dxa"/>
              <w:bottom w:w="30" w:type="dxa"/>
              <w:left w:w="50" w:type="dxa"/>
              <w:right w:w="50" w:type="dxa"/>
            </w:tcMar>
          </w:tcPr>
          <w:p>
            <w:pPr>
              <w:jc w:val="center"/>
            </w:pPr>
            <w:r>
              <w:rPr>
                <w:sz w:val="17"/>
              </w:rPr>
              <w:t>X5.8</w:t>
            </w:r>
          </w:p>
        </w:tc>
        <w:tc>
          <w:tcPr>
            <w:tcW w:type="dxa" w:w="1500"/>
            <w:tcMar>
              <w:top w:w="30" w:type="dxa"/>
              <w:bottom w:w="30" w:type="dxa"/>
              <w:left w:w="50" w:type="dxa"/>
              <w:right w:w="50" w:type="dxa"/>
            </w:tcMar>
          </w:tcPr>
          <w:p>
            <w:pPr>
              <w:jc w:val="center"/>
            </w:pPr>
            <w:r>
              <w:rPr>
                <w:sz w:val="17"/>
              </w:rPr>
              <w:t>01:23</w:t>
            </w:r>
          </w:p>
        </w:tc>
        <w:tc>
          <w:tcPr>
            <w:tcW w:type="dxa" w:w="1500"/>
            <w:tcMar>
              <w:top w:w="30" w:type="dxa"/>
              <w:bottom w:w="30" w:type="dxa"/>
              <w:left w:w="50" w:type="dxa"/>
              <w:right w:w="50" w:type="dxa"/>
            </w:tcMar>
          </w:tcPr>
          <w:p>
            <w:pPr>
              <w:jc w:val="center"/>
            </w:pPr>
            <w:r>
              <w:rPr>
                <w:sz w:val="17"/>
              </w:rPr>
              <w:t>0.521</w:t>
            </w:r>
          </w:p>
        </w:tc>
        <w:tc>
          <w:tcPr>
            <w:tcW w:type="dxa" w:w="1500"/>
            <w:tcMar>
              <w:top w:w="30" w:type="dxa"/>
              <w:bottom w:w="30" w:type="dxa"/>
              <w:left w:w="50" w:type="dxa"/>
              <w:right w:w="50" w:type="dxa"/>
            </w:tcMar>
          </w:tcPr>
          <w:p>
            <w:pPr>
              <w:jc w:val="center"/>
            </w:pPr>
            <w:r>
              <w:rPr>
                <w:sz w:val="17"/>
              </w:rPr>
              <w:t>0.978</w:t>
            </w:r>
          </w:p>
        </w:tc>
        <w:tc>
          <w:tcPr>
            <w:tcW w:type="dxa" w:w="1500"/>
            <w:tcMar>
              <w:top w:w="30" w:type="dxa"/>
              <w:bottom w:w="30" w:type="dxa"/>
              <w:left w:w="50" w:type="dxa"/>
              <w:right w:w="50" w:type="dxa"/>
            </w:tcMar>
          </w:tcPr>
          <w:p>
            <w:pPr>
              <w:jc w:val="center"/>
            </w:pPr>
            <w:r>
              <w:rPr>
                <w:sz w:val="17"/>
              </w:rPr>
              <w:t>+11.0</w:t>
            </w:r>
          </w:p>
        </w:tc>
      </w:tr>
      <w:tr>
        <w:trPr>
          <w:cantSplit/>
        </w:trPr>
        <w:tc>
          <w:tcPr>
            <w:tcW w:type="dxa" w:w="1500"/>
            <w:tcMar>
              <w:top w:w="30" w:type="dxa"/>
              <w:bottom w:w="30" w:type="dxa"/>
              <w:left w:w="50" w:type="dxa"/>
              <w:right w:w="50" w:type="dxa"/>
            </w:tcMar>
          </w:tcPr>
          <w:p>
            <w:pPr>
              <w:jc w:val="center"/>
            </w:pPr>
            <w:r>
              <w:rPr>
                <w:sz w:val="17"/>
              </w:rPr>
              <w:t>SOL2024-10-03</w:t>
            </w:r>
          </w:p>
        </w:tc>
        <w:tc>
          <w:tcPr>
            <w:tcW w:type="dxa" w:w="1500"/>
            <w:tcMar>
              <w:top w:w="30" w:type="dxa"/>
              <w:bottom w:w="30" w:type="dxa"/>
              <w:left w:w="50" w:type="dxa"/>
              <w:right w:w="50" w:type="dxa"/>
            </w:tcMar>
          </w:tcPr>
          <w:p>
            <w:pPr>
              <w:jc w:val="center"/>
            </w:pPr>
            <w:r>
              <w:rPr>
                <w:sz w:val="17"/>
              </w:rPr>
              <w:t>X9.0</w:t>
            </w:r>
          </w:p>
        </w:tc>
        <w:tc>
          <w:tcPr>
            <w:tcW w:type="dxa" w:w="1500"/>
            <w:tcMar>
              <w:top w:w="30" w:type="dxa"/>
              <w:bottom w:w="30" w:type="dxa"/>
              <w:left w:w="50" w:type="dxa"/>
              <w:right w:w="50" w:type="dxa"/>
            </w:tcMar>
          </w:tcPr>
          <w:p>
            <w:pPr>
              <w:jc w:val="center"/>
            </w:pPr>
            <w:r>
              <w:rPr>
                <w:sz w:val="17"/>
              </w:rPr>
              <w:t>12:18</w:t>
            </w:r>
          </w:p>
        </w:tc>
        <w:tc>
          <w:tcPr>
            <w:tcW w:type="dxa" w:w="1500"/>
            <w:tcMar>
              <w:top w:w="30" w:type="dxa"/>
              <w:bottom w:w="30" w:type="dxa"/>
              <w:left w:w="50" w:type="dxa"/>
              <w:right w:w="50" w:type="dxa"/>
            </w:tcMar>
          </w:tcPr>
          <w:p>
            <w:pPr>
              <w:jc w:val="center"/>
            </w:pPr>
            <w:r>
              <w:rPr>
                <w:sz w:val="17"/>
              </w:rPr>
              <w:t>0.548</w:t>
            </w:r>
          </w:p>
        </w:tc>
        <w:tc>
          <w:tcPr>
            <w:tcW w:type="dxa" w:w="1500"/>
            <w:tcMar>
              <w:top w:w="30" w:type="dxa"/>
              <w:bottom w:w="30" w:type="dxa"/>
              <w:left w:w="50" w:type="dxa"/>
              <w:right w:w="50" w:type="dxa"/>
            </w:tcMar>
          </w:tcPr>
          <w:p>
            <w:pPr>
              <w:jc w:val="center"/>
            </w:pPr>
            <w:r>
              <w:rPr>
                <w:sz w:val="17"/>
              </w:rPr>
              <w:t>0.985</w:t>
            </w:r>
          </w:p>
        </w:tc>
        <w:tc>
          <w:tcPr>
            <w:tcW w:type="dxa" w:w="1500"/>
            <w:tcMar>
              <w:top w:w="30" w:type="dxa"/>
              <w:bottom w:w="30" w:type="dxa"/>
              <w:left w:w="50" w:type="dxa"/>
              <w:right w:w="50" w:type="dxa"/>
            </w:tcMar>
          </w:tcPr>
          <w:p>
            <w:pPr>
              <w:jc w:val="center"/>
            </w:pPr>
            <w:r>
              <w:rPr>
                <w:sz w:val="17"/>
              </w:rPr>
              <w:t>+6.0</w:t>
            </w:r>
          </w:p>
        </w:tc>
      </w:tr>
    </w:tbl>
    <w:p>
      <w:pPr>
        <w:keepNext/>
        <w:spacing w:before="240" w:after="80"/>
        <w:jc w:val="left"/>
      </w:pPr>
      <w:r>
        <w:rPr>
          <w:rFonts w:ascii="Times New Roman" w:hAnsi="Times New Roman"/>
          <w:b/>
          <w:color w:val="000000"/>
          <w:sz w:val="23"/>
        </w:rPr>
        <w:t>5.2 Multi-Spectral Passband Sensitivity Sweep</w:t>
      </w:r>
    </w:p>
    <w:p>
      <w:pPr>
        <w:spacing w:before="0" w:after="120" w:line="288" w:lineRule="auto"/>
        <w:jc w:val="both"/>
      </w:pPr>
      <w:r>
        <w:rPr>
          <w:rFonts w:ascii="Times New Roman" w:hAnsi="Times New Roman"/>
          <w:b w:val="0"/>
          <w:i w:val="0"/>
          <w:color w:val="000000"/>
          <w:sz w:val="22"/>
        </w:rPr>
        <w:t>To rigorously quantify the contribution of each energy passband, a full factorial sensitivity sweep was executed across 40 energy band permutations. As illustrated in Figure 5.3, models incorporating both soft (SoLEXS) and hard (HEL1OS) bands achieve a +38.6% higher correlation than soft-X-ray-only baselines.</w:t>
      </w:r>
    </w:p>
    <w:p>
      <w:pPr>
        <w:keepNext/>
        <w:spacing w:before="200" w:after="80"/>
        <w:jc w:val="center"/>
      </w:pPr>
      <w:r>
        <w:drawing>
          <wp:inline xmlns:a="http://schemas.openxmlformats.org/drawingml/2006/main" xmlns:pic="http://schemas.openxmlformats.org/drawingml/2006/picture">
            <wp:extent cx="5029200" cy="3577073"/>
            <wp:docPr id="7" name="Picture 7"/>
            <wp:cNvGraphicFramePr>
              <a:graphicFrameLocks noChangeAspect="1"/>
            </wp:cNvGraphicFramePr>
            <a:graphic>
              <a:graphicData uri="http://schemas.openxmlformats.org/drawingml/2006/picture">
                <pic:pic>
                  <pic:nvPicPr>
                    <pic:cNvPr id="0" name="figure8_band_sweep.png"/>
                    <pic:cNvPicPr/>
                  </pic:nvPicPr>
                  <pic:blipFill>
                    <a:blip r:embed="rId15"/>
                    <a:stretch>
                      <a:fillRect/>
                    </a:stretch>
                  </pic:blipFill>
                  <pic:spPr>
                    <a:xfrm>
                      <a:off x="0" y="0"/>
                      <a:ext cx="5029200" cy="3577073"/>
                    </a:xfrm>
                    <a:prstGeom prst="rect"/>
                  </pic:spPr>
                </pic:pic>
              </a:graphicData>
            </a:graphic>
          </wp:inline>
        </w:drawing>
      </w:r>
    </w:p>
    <w:p>
      <w:pPr>
        <w:spacing w:before="40" w:after="200" w:line="276" w:lineRule="auto"/>
        <w:jc w:val="center"/>
      </w:pPr>
      <w:r>
        <w:rPr>
          <w:rFonts w:ascii="Times New Roman" w:hAnsi="Times New Roman"/>
          <w:i/>
          <w:sz w:val="19"/>
        </w:rPr>
        <w:t>Figure 5.3: Energy-Band Sensitivity Sweep across 40 Evaluated Passband Permutations Confirming Neupert Superiority.</w:t>
      </w:r>
    </w:p>
    <w:p>
      <w:pPr>
        <w:keepNext/>
        <w:spacing w:before="240" w:after="80"/>
        <w:jc w:val="left"/>
      </w:pPr>
      <w:r>
        <w:rPr>
          <w:rFonts w:ascii="Times New Roman" w:hAnsi="Times New Roman"/>
          <w:b/>
          <w:color w:val="000000"/>
          <w:sz w:val="23"/>
        </w:rPr>
        <w:t>5.3 Comparative Model Benchmark on Held-Out Historic X9.0 Flare</w:t>
      </w:r>
    </w:p>
    <w:p>
      <w:pPr>
        <w:spacing w:before="0" w:after="120" w:line="288" w:lineRule="auto"/>
        <w:jc w:val="both"/>
      </w:pPr>
      <w:r>
        <w:rPr>
          <w:rFonts w:ascii="Times New Roman" w:hAnsi="Times New Roman"/>
          <w:b w:val="0"/>
          <w:i w:val="0"/>
          <w:color w:val="000000"/>
          <w:sz w:val="22"/>
        </w:rPr>
        <w:t>We benchmarked the proposed PINN ST-GT against six baseline architectures on the held-out SOL2024-10-03 (X9.0) superflare. Table 5.2 summarizes the results across the complete space weather verification battery.</w:t>
      </w:r>
    </w:p>
    <w:p>
      <w:pPr>
        <w:keepNext/>
      </w:pPr>
      <w:r>
        <w:rPr>
          <w:b/>
          <w:sz w:val="20"/>
        </w:rPr>
        <w:t>Table 5.2: Comprehensive Architectural Benchmark on Held-Out Historic X9.0 Superflare</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one"/>
          <w:right w:val="none"/>
          <w:insideV w:val="none"/>
        </w:tblBorders>
      </w:tblPr>
      <w:tblGrid>
        <w:gridCol w:w="1286"/>
        <w:gridCol w:w="1286"/>
        <w:gridCol w:w="1286"/>
        <w:gridCol w:w="1286"/>
        <w:gridCol w:w="1286"/>
        <w:gridCol w:w="1286"/>
        <w:gridCol w:w="1286"/>
      </w:tblGrid>
      <w:tr>
        <w:trPr>
          <w:cantSplit/>
        </w:trPr>
        <w:tc>
          <w:tcPr>
            <w:tcW w:type="dxa" w:w="1286"/>
            <w:tcMar>
              <w:top w:w="28" w:type="dxa"/>
              <w:bottom w:w="28" w:type="dxa"/>
              <w:left w:w="40" w:type="dxa"/>
              <w:right w:w="40" w:type="dxa"/>
            </w:tcMar>
            <w:shd w:fill="EAECEE"/>
          </w:tcPr>
          <w:p>
            <w:pPr>
              <w:jc w:val="center"/>
            </w:pPr>
            <w:r>
              <w:rPr>
                <w:b/>
                <w:sz w:val="16"/>
              </w:rPr>
              <w:t>Model Architecture</w:t>
            </w:r>
          </w:p>
        </w:tc>
        <w:tc>
          <w:tcPr>
            <w:tcW w:type="dxa" w:w="1286"/>
            <w:tcMar>
              <w:top w:w="28" w:type="dxa"/>
              <w:bottom w:w="28" w:type="dxa"/>
              <w:left w:w="40" w:type="dxa"/>
              <w:right w:w="40" w:type="dxa"/>
            </w:tcMar>
            <w:shd w:fill="EAECEE"/>
          </w:tcPr>
          <w:p>
            <w:pPr>
              <w:jc w:val="center"/>
            </w:pPr>
            <w:r>
              <w:rPr>
                <w:b/>
                <w:sz w:val="16"/>
              </w:rPr>
              <w:t>TSS</w:t>
            </w:r>
          </w:p>
        </w:tc>
        <w:tc>
          <w:tcPr>
            <w:tcW w:type="dxa" w:w="1286"/>
            <w:tcMar>
              <w:top w:w="28" w:type="dxa"/>
              <w:bottom w:w="28" w:type="dxa"/>
              <w:left w:w="40" w:type="dxa"/>
              <w:right w:w="40" w:type="dxa"/>
            </w:tcMar>
            <w:shd w:fill="EAECEE"/>
          </w:tcPr>
          <w:p>
            <w:pPr>
              <w:jc w:val="center"/>
            </w:pPr>
            <w:r>
              <w:rPr>
                <w:b/>
                <w:sz w:val="16"/>
              </w:rPr>
              <w:t>HSS</w:t>
            </w:r>
          </w:p>
        </w:tc>
        <w:tc>
          <w:tcPr>
            <w:tcW w:type="dxa" w:w="1286"/>
            <w:tcMar>
              <w:top w:w="28" w:type="dxa"/>
              <w:bottom w:w="28" w:type="dxa"/>
              <w:left w:w="40" w:type="dxa"/>
              <w:right w:w="40" w:type="dxa"/>
            </w:tcMar>
            <w:shd w:fill="EAECEE"/>
          </w:tcPr>
          <w:p>
            <w:pPr>
              <w:jc w:val="center"/>
            </w:pPr>
            <w:r>
              <w:rPr>
                <w:b/>
                <w:sz w:val="16"/>
              </w:rPr>
              <w:t>BSS</w:t>
            </w:r>
          </w:p>
        </w:tc>
        <w:tc>
          <w:tcPr>
            <w:tcW w:type="dxa" w:w="1286"/>
            <w:tcMar>
              <w:top w:w="28" w:type="dxa"/>
              <w:bottom w:w="28" w:type="dxa"/>
              <w:left w:w="40" w:type="dxa"/>
              <w:right w:w="40" w:type="dxa"/>
            </w:tcMar>
            <w:shd w:fill="EAECEE"/>
          </w:tcPr>
          <w:p>
            <w:pPr>
              <w:jc w:val="center"/>
            </w:pPr>
            <w:r>
              <w:rPr>
                <w:b/>
                <w:sz w:val="16"/>
              </w:rPr>
              <w:t>PR-AUC</w:t>
            </w:r>
          </w:p>
        </w:tc>
        <w:tc>
          <w:tcPr>
            <w:tcW w:type="dxa" w:w="1286"/>
            <w:tcMar>
              <w:top w:w="28" w:type="dxa"/>
              <w:bottom w:w="28" w:type="dxa"/>
              <w:left w:w="40" w:type="dxa"/>
              <w:right w:w="40" w:type="dxa"/>
            </w:tcMar>
            <w:shd w:fill="EAECEE"/>
          </w:tcPr>
          <w:p>
            <w:pPr>
              <w:jc w:val="center"/>
            </w:pPr>
            <w:r>
              <w:rPr>
                <w:b/>
                <w:sz w:val="16"/>
              </w:rPr>
              <w:t>FAR (%)</w:t>
            </w:r>
          </w:p>
        </w:tc>
        <w:tc>
          <w:tcPr>
            <w:tcW w:type="dxa" w:w="1286"/>
            <w:tcMar>
              <w:top w:w="28" w:type="dxa"/>
              <w:bottom w:w="28" w:type="dxa"/>
              <w:left w:w="40" w:type="dxa"/>
              <w:right w:w="40" w:type="dxa"/>
            </w:tcMar>
            <w:shd w:fill="EAECEE"/>
          </w:tcPr>
          <w:p>
            <w:pPr>
              <w:jc w:val="center"/>
            </w:pPr>
            <w:r>
              <w:rPr>
                <w:b/>
                <w:sz w:val="16"/>
              </w:rPr>
              <w:t>Lead Time</w:t>
            </w:r>
          </w:p>
        </w:tc>
      </w:tr>
      <w:tr>
        <w:trPr>
          <w:cantSplit/>
        </w:trPr>
        <w:tc>
          <w:tcPr>
            <w:tcW w:type="dxa" w:w="1286"/>
            <w:tcMar>
              <w:top w:w="28" w:type="dxa"/>
              <w:bottom w:w="28" w:type="dxa"/>
              <w:left w:w="40" w:type="dxa"/>
              <w:right w:w="40" w:type="dxa"/>
            </w:tcMar>
          </w:tcPr>
          <w:p>
            <w:pPr>
              <w:jc w:val="center"/>
            </w:pPr>
            <w:r>
              <w:rPr>
                <w:sz w:val="16"/>
              </w:rPr>
              <w:t>Logistic Regression</w:t>
            </w:r>
          </w:p>
        </w:tc>
        <w:tc>
          <w:tcPr>
            <w:tcW w:type="dxa" w:w="1286"/>
            <w:tcMar>
              <w:top w:w="28" w:type="dxa"/>
              <w:bottom w:w="28" w:type="dxa"/>
              <w:left w:w="40" w:type="dxa"/>
              <w:right w:w="40" w:type="dxa"/>
            </w:tcMar>
          </w:tcPr>
          <w:p>
            <w:pPr>
              <w:jc w:val="center"/>
            </w:pPr>
            <w:r>
              <w:rPr>
                <w:sz w:val="16"/>
              </w:rPr>
              <w:t>0.412</w:t>
            </w:r>
          </w:p>
        </w:tc>
        <w:tc>
          <w:tcPr>
            <w:tcW w:type="dxa" w:w="1286"/>
            <w:tcMar>
              <w:top w:w="28" w:type="dxa"/>
              <w:bottom w:w="28" w:type="dxa"/>
              <w:left w:w="40" w:type="dxa"/>
              <w:right w:w="40" w:type="dxa"/>
            </w:tcMar>
          </w:tcPr>
          <w:p>
            <w:pPr>
              <w:jc w:val="center"/>
            </w:pPr>
            <w:r>
              <w:rPr>
                <w:sz w:val="16"/>
              </w:rPr>
              <w:t>0.345</w:t>
            </w:r>
          </w:p>
        </w:tc>
        <w:tc>
          <w:tcPr>
            <w:tcW w:type="dxa" w:w="1286"/>
            <w:tcMar>
              <w:top w:w="28" w:type="dxa"/>
              <w:bottom w:w="28" w:type="dxa"/>
              <w:left w:w="40" w:type="dxa"/>
              <w:right w:w="40" w:type="dxa"/>
            </w:tcMar>
          </w:tcPr>
          <w:p>
            <w:pPr>
              <w:jc w:val="center"/>
            </w:pPr>
            <w:r>
              <w:rPr>
                <w:sz w:val="16"/>
              </w:rPr>
              <w:t>0.108</w:t>
            </w:r>
          </w:p>
        </w:tc>
        <w:tc>
          <w:tcPr>
            <w:tcW w:type="dxa" w:w="1286"/>
            <w:tcMar>
              <w:top w:w="28" w:type="dxa"/>
              <w:bottom w:w="28" w:type="dxa"/>
              <w:left w:w="40" w:type="dxa"/>
              <w:right w:w="40" w:type="dxa"/>
            </w:tcMar>
          </w:tcPr>
          <w:p>
            <w:pPr>
              <w:jc w:val="center"/>
            </w:pPr>
            <w:r>
              <w:rPr>
                <w:sz w:val="16"/>
              </w:rPr>
              <w:t>0.389</w:t>
            </w:r>
          </w:p>
        </w:tc>
        <w:tc>
          <w:tcPr>
            <w:tcW w:type="dxa" w:w="1286"/>
            <w:tcMar>
              <w:top w:w="28" w:type="dxa"/>
              <w:bottom w:w="28" w:type="dxa"/>
              <w:left w:w="40" w:type="dxa"/>
              <w:right w:w="40" w:type="dxa"/>
            </w:tcMar>
          </w:tcPr>
          <w:p>
            <w:pPr>
              <w:jc w:val="center"/>
            </w:pPr>
            <w:r>
              <w:rPr>
                <w:sz w:val="16"/>
              </w:rPr>
              <w:t>58.4%</w:t>
            </w:r>
          </w:p>
        </w:tc>
        <w:tc>
          <w:tcPr>
            <w:tcW w:type="dxa" w:w="1286"/>
            <w:tcMar>
              <w:top w:w="28" w:type="dxa"/>
              <w:bottom w:w="28" w:type="dxa"/>
              <w:left w:w="40" w:type="dxa"/>
              <w:right w:w="40" w:type="dxa"/>
            </w:tcMar>
          </w:tcPr>
          <w:p>
            <w:pPr>
              <w:jc w:val="center"/>
            </w:pPr>
            <w:r>
              <w:rPr>
                <w:sz w:val="16"/>
              </w:rPr>
              <w:t>0.42 h</w:t>
            </w:r>
          </w:p>
        </w:tc>
      </w:tr>
      <w:tr>
        <w:trPr>
          <w:cantSplit/>
        </w:trPr>
        <w:tc>
          <w:tcPr>
            <w:tcW w:type="dxa" w:w="1286"/>
            <w:tcMar>
              <w:top w:w="28" w:type="dxa"/>
              <w:bottom w:w="28" w:type="dxa"/>
              <w:left w:w="40" w:type="dxa"/>
              <w:right w:w="40" w:type="dxa"/>
            </w:tcMar>
          </w:tcPr>
          <w:p>
            <w:pPr>
              <w:jc w:val="center"/>
            </w:pPr>
            <w:r>
              <w:rPr>
                <w:sz w:val="16"/>
              </w:rPr>
              <w:t>Random Forest</w:t>
            </w:r>
          </w:p>
        </w:tc>
        <w:tc>
          <w:tcPr>
            <w:tcW w:type="dxa" w:w="1286"/>
            <w:tcMar>
              <w:top w:w="28" w:type="dxa"/>
              <w:bottom w:w="28" w:type="dxa"/>
              <w:left w:w="40" w:type="dxa"/>
              <w:right w:w="40" w:type="dxa"/>
            </w:tcMar>
          </w:tcPr>
          <w:p>
            <w:pPr>
              <w:jc w:val="center"/>
            </w:pPr>
            <w:r>
              <w:rPr>
                <w:sz w:val="16"/>
              </w:rPr>
              <w:t>0.589</w:t>
            </w:r>
          </w:p>
        </w:tc>
        <w:tc>
          <w:tcPr>
            <w:tcW w:type="dxa" w:w="1286"/>
            <w:tcMar>
              <w:top w:w="28" w:type="dxa"/>
              <w:bottom w:w="28" w:type="dxa"/>
              <w:left w:w="40" w:type="dxa"/>
              <w:right w:w="40" w:type="dxa"/>
            </w:tcMar>
          </w:tcPr>
          <w:p>
            <w:pPr>
              <w:jc w:val="center"/>
            </w:pPr>
            <w:r>
              <w:rPr>
                <w:sz w:val="16"/>
              </w:rPr>
              <w:t>0.512</w:t>
            </w:r>
          </w:p>
        </w:tc>
        <w:tc>
          <w:tcPr>
            <w:tcW w:type="dxa" w:w="1286"/>
            <w:tcMar>
              <w:top w:w="28" w:type="dxa"/>
              <w:bottom w:w="28" w:type="dxa"/>
              <w:left w:w="40" w:type="dxa"/>
              <w:right w:w="40" w:type="dxa"/>
            </w:tcMar>
          </w:tcPr>
          <w:p>
            <w:pPr>
              <w:jc w:val="center"/>
            </w:pPr>
            <w:r>
              <w:rPr>
                <w:sz w:val="16"/>
              </w:rPr>
              <w:t>0.221</w:t>
            </w:r>
          </w:p>
        </w:tc>
        <w:tc>
          <w:tcPr>
            <w:tcW w:type="dxa" w:w="1286"/>
            <w:tcMar>
              <w:top w:w="28" w:type="dxa"/>
              <w:bottom w:w="28" w:type="dxa"/>
              <w:left w:w="40" w:type="dxa"/>
              <w:right w:w="40" w:type="dxa"/>
            </w:tcMar>
          </w:tcPr>
          <w:p>
            <w:pPr>
              <w:jc w:val="center"/>
            </w:pPr>
            <w:r>
              <w:rPr>
                <w:sz w:val="16"/>
              </w:rPr>
              <w:t>0.562</w:t>
            </w:r>
          </w:p>
        </w:tc>
        <w:tc>
          <w:tcPr>
            <w:tcW w:type="dxa" w:w="1286"/>
            <w:tcMar>
              <w:top w:w="28" w:type="dxa"/>
              <w:bottom w:w="28" w:type="dxa"/>
              <w:left w:w="40" w:type="dxa"/>
              <w:right w:w="40" w:type="dxa"/>
            </w:tcMar>
          </w:tcPr>
          <w:p>
            <w:pPr>
              <w:jc w:val="center"/>
            </w:pPr>
            <w:r>
              <w:rPr>
                <w:sz w:val="16"/>
              </w:rPr>
              <w:t>41.2%</w:t>
            </w:r>
          </w:p>
        </w:tc>
        <w:tc>
          <w:tcPr>
            <w:tcW w:type="dxa" w:w="1286"/>
            <w:tcMar>
              <w:top w:w="28" w:type="dxa"/>
              <w:bottom w:w="28" w:type="dxa"/>
              <w:left w:w="40" w:type="dxa"/>
              <w:right w:w="40" w:type="dxa"/>
            </w:tcMar>
          </w:tcPr>
          <w:p>
            <w:pPr>
              <w:jc w:val="center"/>
            </w:pPr>
            <w:r>
              <w:rPr>
                <w:sz w:val="16"/>
              </w:rPr>
              <w:t>0.85 h</w:t>
            </w:r>
          </w:p>
        </w:tc>
      </w:tr>
      <w:tr>
        <w:trPr>
          <w:cantSplit/>
        </w:trPr>
        <w:tc>
          <w:tcPr>
            <w:tcW w:type="dxa" w:w="1286"/>
            <w:tcMar>
              <w:top w:w="28" w:type="dxa"/>
              <w:bottom w:w="28" w:type="dxa"/>
              <w:left w:w="40" w:type="dxa"/>
              <w:right w:w="40" w:type="dxa"/>
            </w:tcMar>
          </w:tcPr>
          <w:p>
            <w:pPr>
              <w:jc w:val="center"/>
            </w:pPr>
            <w:r>
              <w:rPr>
                <w:sz w:val="16"/>
              </w:rPr>
              <w:t>XGBoost (HMI Tabular)</w:t>
            </w:r>
          </w:p>
        </w:tc>
        <w:tc>
          <w:tcPr>
            <w:tcW w:type="dxa" w:w="1286"/>
            <w:tcMar>
              <w:top w:w="28" w:type="dxa"/>
              <w:bottom w:w="28" w:type="dxa"/>
              <w:left w:w="40" w:type="dxa"/>
              <w:right w:w="40" w:type="dxa"/>
            </w:tcMar>
          </w:tcPr>
          <w:p>
            <w:pPr>
              <w:jc w:val="center"/>
            </w:pPr>
            <w:r>
              <w:rPr>
                <w:sz w:val="16"/>
              </w:rPr>
              <w:t>0.634</w:t>
            </w:r>
          </w:p>
        </w:tc>
        <w:tc>
          <w:tcPr>
            <w:tcW w:type="dxa" w:w="1286"/>
            <w:tcMar>
              <w:top w:w="28" w:type="dxa"/>
              <w:bottom w:w="28" w:type="dxa"/>
              <w:left w:w="40" w:type="dxa"/>
              <w:right w:w="40" w:type="dxa"/>
            </w:tcMar>
          </w:tcPr>
          <w:p>
            <w:pPr>
              <w:jc w:val="center"/>
            </w:pPr>
            <w:r>
              <w:rPr>
                <w:sz w:val="16"/>
              </w:rPr>
              <w:t>0.568</w:t>
            </w:r>
          </w:p>
        </w:tc>
        <w:tc>
          <w:tcPr>
            <w:tcW w:type="dxa" w:w="1286"/>
            <w:tcMar>
              <w:top w:w="28" w:type="dxa"/>
              <w:bottom w:w="28" w:type="dxa"/>
              <w:left w:w="40" w:type="dxa"/>
              <w:right w:w="40" w:type="dxa"/>
            </w:tcMar>
          </w:tcPr>
          <w:p>
            <w:pPr>
              <w:jc w:val="center"/>
            </w:pPr>
            <w:r>
              <w:rPr>
                <w:sz w:val="16"/>
              </w:rPr>
              <w:t>0.264</w:t>
            </w:r>
          </w:p>
        </w:tc>
        <w:tc>
          <w:tcPr>
            <w:tcW w:type="dxa" w:w="1286"/>
            <w:tcMar>
              <w:top w:w="28" w:type="dxa"/>
              <w:bottom w:w="28" w:type="dxa"/>
              <w:left w:w="40" w:type="dxa"/>
              <w:right w:w="40" w:type="dxa"/>
            </w:tcMar>
          </w:tcPr>
          <w:p>
            <w:pPr>
              <w:jc w:val="center"/>
            </w:pPr>
            <w:r>
              <w:rPr>
                <w:sz w:val="16"/>
              </w:rPr>
              <w:t>0.618</w:t>
            </w:r>
          </w:p>
        </w:tc>
        <w:tc>
          <w:tcPr>
            <w:tcW w:type="dxa" w:w="1286"/>
            <w:tcMar>
              <w:top w:w="28" w:type="dxa"/>
              <w:bottom w:w="28" w:type="dxa"/>
              <w:left w:w="40" w:type="dxa"/>
              <w:right w:w="40" w:type="dxa"/>
            </w:tcMar>
          </w:tcPr>
          <w:p>
            <w:pPr>
              <w:jc w:val="center"/>
            </w:pPr>
            <w:r>
              <w:rPr>
                <w:sz w:val="16"/>
              </w:rPr>
              <w:t>36.8%</w:t>
            </w:r>
          </w:p>
        </w:tc>
        <w:tc>
          <w:tcPr>
            <w:tcW w:type="dxa" w:w="1286"/>
            <w:tcMar>
              <w:top w:w="28" w:type="dxa"/>
              <w:bottom w:w="28" w:type="dxa"/>
              <w:left w:w="40" w:type="dxa"/>
              <w:right w:w="40" w:type="dxa"/>
            </w:tcMar>
          </w:tcPr>
          <w:p>
            <w:pPr>
              <w:jc w:val="center"/>
            </w:pPr>
            <w:r>
              <w:rPr>
                <w:sz w:val="16"/>
              </w:rPr>
              <w:t>1.10 h</w:t>
            </w:r>
          </w:p>
        </w:tc>
      </w:tr>
      <w:tr>
        <w:trPr>
          <w:cantSplit/>
        </w:trPr>
        <w:tc>
          <w:tcPr>
            <w:tcW w:type="dxa" w:w="1286"/>
            <w:tcMar>
              <w:top w:w="28" w:type="dxa"/>
              <w:bottom w:w="28" w:type="dxa"/>
              <w:left w:w="40" w:type="dxa"/>
              <w:right w:w="40" w:type="dxa"/>
            </w:tcMar>
          </w:tcPr>
          <w:p>
            <w:pPr>
              <w:jc w:val="center"/>
            </w:pPr>
            <w:r>
              <w:rPr>
                <w:sz w:val="16"/>
              </w:rPr>
              <w:t>Vanilla Transformer</w:t>
            </w:r>
          </w:p>
        </w:tc>
        <w:tc>
          <w:tcPr>
            <w:tcW w:type="dxa" w:w="1286"/>
            <w:tcMar>
              <w:top w:w="28" w:type="dxa"/>
              <w:bottom w:w="28" w:type="dxa"/>
              <w:left w:w="40" w:type="dxa"/>
              <w:right w:w="40" w:type="dxa"/>
            </w:tcMar>
          </w:tcPr>
          <w:p>
            <w:pPr>
              <w:jc w:val="center"/>
            </w:pPr>
            <w:r>
              <w:rPr>
                <w:sz w:val="16"/>
              </w:rPr>
              <w:t>0.711</w:t>
            </w:r>
          </w:p>
        </w:tc>
        <w:tc>
          <w:tcPr>
            <w:tcW w:type="dxa" w:w="1286"/>
            <w:tcMar>
              <w:top w:w="28" w:type="dxa"/>
              <w:bottom w:w="28" w:type="dxa"/>
              <w:left w:w="40" w:type="dxa"/>
              <w:right w:w="40" w:type="dxa"/>
            </w:tcMar>
          </w:tcPr>
          <w:p>
            <w:pPr>
              <w:jc w:val="center"/>
            </w:pPr>
            <w:r>
              <w:rPr>
                <w:sz w:val="16"/>
              </w:rPr>
              <w:t>0.642</w:t>
            </w:r>
          </w:p>
        </w:tc>
        <w:tc>
          <w:tcPr>
            <w:tcW w:type="dxa" w:w="1286"/>
            <w:tcMar>
              <w:top w:w="28" w:type="dxa"/>
              <w:bottom w:w="28" w:type="dxa"/>
              <w:left w:w="40" w:type="dxa"/>
              <w:right w:w="40" w:type="dxa"/>
            </w:tcMar>
          </w:tcPr>
          <w:p>
            <w:pPr>
              <w:jc w:val="center"/>
            </w:pPr>
            <w:r>
              <w:rPr>
                <w:sz w:val="16"/>
              </w:rPr>
              <w:t>0.320</w:t>
            </w:r>
          </w:p>
        </w:tc>
        <w:tc>
          <w:tcPr>
            <w:tcW w:type="dxa" w:w="1286"/>
            <w:tcMar>
              <w:top w:w="28" w:type="dxa"/>
              <w:bottom w:w="28" w:type="dxa"/>
              <w:left w:w="40" w:type="dxa"/>
              <w:right w:w="40" w:type="dxa"/>
            </w:tcMar>
          </w:tcPr>
          <w:p>
            <w:pPr>
              <w:jc w:val="center"/>
            </w:pPr>
            <w:r>
              <w:rPr>
                <w:sz w:val="16"/>
              </w:rPr>
              <w:t>0.704</w:t>
            </w:r>
          </w:p>
        </w:tc>
        <w:tc>
          <w:tcPr>
            <w:tcW w:type="dxa" w:w="1286"/>
            <w:tcMar>
              <w:top w:w="28" w:type="dxa"/>
              <w:bottom w:w="28" w:type="dxa"/>
              <w:left w:w="40" w:type="dxa"/>
              <w:right w:w="40" w:type="dxa"/>
            </w:tcMar>
          </w:tcPr>
          <w:p>
            <w:pPr>
              <w:jc w:val="center"/>
            </w:pPr>
            <w:r>
              <w:rPr>
                <w:sz w:val="16"/>
              </w:rPr>
              <w:t>29.5%</w:t>
            </w:r>
          </w:p>
        </w:tc>
        <w:tc>
          <w:tcPr>
            <w:tcW w:type="dxa" w:w="1286"/>
            <w:tcMar>
              <w:top w:w="28" w:type="dxa"/>
              <w:bottom w:w="28" w:type="dxa"/>
              <w:left w:w="40" w:type="dxa"/>
              <w:right w:w="40" w:type="dxa"/>
            </w:tcMar>
          </w:tcPr>
          <w:p>
            <w:pPr>
              <w:jc w:val="center"/>
            </w:pPr>
            <w:r>
              <w:rPr>
                <w:sz w:val="16"/>
              </w:rPr>
              <w:t>1.45 h</w:t>
            </w:r>
          </w:p>
        </w:tc>
      </w:tr>
      <w:tr>
        <w:trPr>
          <w:cantSplit/>
        </w:trPr>
        <w:tc>
          <w:tcPr>
            <w:tcW w:type="dxa" w:w="1286"/>
            <w:tcMar>
              <w:top w:w="28" w:type="dxa"/>
              <w:bottom w:w="28" w:type="dxa"/>
              <w:left w:w="40" w:type="dxa"/>
              <w:right w:w="40" w:type="dxa"/>
            </w:tcMar>
          </w:tcPr>
          <w:p>
            <w:pPr>
              <w:jc w:val="center"/>
            </w:pPr>
            <w:r>
              <w:rPr>
                <w:sz w:val="16"/>
              </w:rPr>
              <w:t>Bi-LSTM Sequence</w:t>
            </w:r>
          </w:p>
        </w:tc>
        <w:tc>
          <w:tcPr>
            <w:tcW w:type="dxa" w:w="1286"/>
            <w:tcMar>
              <w:top w:w="28" w:type="dxa"/>
              <w:bottom w:w="28" w:type="dxa"/>
              <w:left w:w="40" w:type="dxa"/>
              <w:right w:w="40" w:type="dxa"/>
            </w:tcMar>
          </w:tcPr>
          <w:p>
            <w:pPr>
              <w:jc w:val="center"/>
            </w:pPr>
            <w:r>
              <w:rPr>
                <w:sz w:val="16"/>
              </w:rPr>
              <w:t>0.684</w:t>
            </w:r>
          </w:p>
        </w:tc>
        <w:tc>
          <w:tcPr>
            <w:tcW w:type="dxa" w:w="1286"/>
            <w:tcMar>
              <w:top w:w="28" w:type="dxa"/>
              <w:bottom w:w="28" w:type="dxa"/>
              <w:left w:w="40" w:type="dxa"/>
              <w:right w:w="40" w:type="dxa"/>
            </w:tcMar>
          </w:tcPr>
          <w:p>
            <w:pPr>
              <w:jc w:val="center"/>
            </w:pPr>
            <w:r>
              <w:rPr>
                <w:sz w:val="16"/>
              </w:rPr>
              <w:t>0.615</w:t>
            </w:r>
          </w:p>
        </w:tc>
        <w:tc>
          <w:tcPr>
            <w:tcW w:type="dxa" w:w="1286"/>
            <w:tcMar>
              <w:top w:w="28" w:type="dxa"/>
              <w:bottom w:w="28" w:type="dxa"/>
              <w:left w:w="40" w:type="dxa"/>
              <w:right w:w="40" w:type="dxa"/>
            </w:tcMar>
          </w:tcPr>
          <w:p>
            <w:pPr>
              <w:jc w:val="center"/>
            </w:pPr>
            <w:r>
              <w:rPr>
                <w:sz w:val="16"/>
              </w:rPr>
              <w:t>0.298</w:t>
            </w:r>
          </w:p>
        </w:tc>
        <w:tc>
          <w:tcPr>
            <w:tcW w:type="dxa" w:w="1286"/>
            <w:tcMar>
              <w:top w:w="28" w:type="dxa"/>
              <w:bottom w:w="28" w:type="dxa"/>
              <w:left w:w="40" w:type="dxa"/>
              <w:right w:w="40" w:type="dxa"/>
            </w:tcMar>
          </w:tcPr>
          <w:p>
            <w:pPr>
              <w:jc w:val="center"/>
            </w:pPr>
            <w:r>
              <w:rPr>
                <w:sz w:val="16"/>
              </w:rPr>
              <w:t>0.672</w:t>
            </w:r>
          </w:p>
        </w:tc>
        <w:tc>
          <w:tcPr>
            <w:tcW w:type="dxa" w:w="1286"/>
            <w:tcMar>
              <w:top w:w="28" w:type="dxa"/>
              <w:bottom w:w="28" w:type="dxa"/>
              <w:left w:w="40" w:type="dxa"/>
              <w:right w:w="40" w:type="dxa"/>
            </w:tcMar>
          </w:tcPr>
          <w:p>
            <w:pPr>
              <w:jc w:val="center"/>
            </w:pPr>
            <w:r>
              <w:rPr>
                <w:sz w:val="16"/>
              </w:rPr>
              <w:t>32.1%</w:t>
            </w:r>
          </w:p>
        </w:tc>
        <w:tc>
          <w:tcPr>
            <w:tcW w:type="dxa" w:w="1286"/>
            <w:tcMar>
              <w:top w:w="28" w:type="dxa"/>
              <w:bottom w:w="28" w:type="dxa"/>
              <w:left w:w="40" w:type="dxa"/>
              <w:right w:w="40" w:type="dxa"/>
            </w:tcMar>
          </w:tcPr>
          <w:p>
            <w:pPr>
              <w:jc w:val="center"/>
            </w:pPr>
            <w:r>
              <w:rPr>
                <w:sz w:val="16"/>
              </w:rPr>
              <w:t>1.30 h</w:t>
            </w:r>
          </w:p>
        </w:tc>
      </w:tr>
      <w:tr>
        <w:trPr>
          <w:cantSplit/>
        </w:trPr>
        <w:tc>
          <w:tcPr>
            <w:tcW w:type="dxa" w:w="1286"/>
            <w:tcMar>
              <w:top w:w="28" w:type="dxa"/>
              <w:bottom w:w="28" w:type="dxa"/>
              <w:left w:w="40" w:type="dxa"/>
              <w:right w:w="40" w:type="dxa"/>
            </w:tcMar>
          </w:tcPr>
          <w:p>
            <w:pPr>
              <w:jc w:val="center"/>
            </w:pPr>
            <w:r>
              <w:rPr>
                <w:sz w:val="16"/>
              </w:rPr>
              <w:t>Standard ST-GNN (No PINN)</w:t>
            </w:r>
          </w:p>
        </w:tc>
        <w:tc>
          <w:tcPr>
            <w:tcW w:type="dxa" w:w="1286"/>
            <w:tcMar>
              <w:top w:w="28" w:type="dxa"/>
              <w:bottom w:w="28" w:type="dxa"/>
              <w:left w:w="40" w:type="dxa"/>
              <w:right w:w="40" w:type="dxa"/>
            </w:tcMar>
          </w:tcPr>
          <w:p>
            <w:pPr>
              <w:jc w:val="center"/>
            </w:pPr>
            <w:r>
              <w:rPr>
                <w:sz w:val="16"/>
              </w:rPr>
              <w:t>0.765</w:t>
            </w:r>
          </w:p>
        </w:tc>
        <w:tc>
          <w:tcPr>
            <w:tcW w:type="dxa" w:w="1286"/>
            <w:tcMar>
              <w:top w:w="28" w:type="dxa"/>
              <w:bottom w:w="28" w:type="dxa"/>
              <w:left w:w="40" w:type="dxa"/>
              <w:right w:w="40" w:type="dxa"/>
            </w:tcMar>
          </w:tcPr>
          <w:p>
            <w:pPr>
              <w:jc w:val="center"/>
            </w:pPr>
            <w:r>
              <w:rPr>
                <w:sz w:val="16"/>
              </w:rPr>
              <w:t>0.698</w:t>
            </w:r>
          </w:p>
        </w:tc>
        <w:tc>
          <w:tcPr>
            <w:tcW w:type="dxa" w:w="1286"/>
            <w:tcMar>
              <w:top w:w="28" w:type="dxa"/>
              <w:bottom w:w="28" w:type="dxa"/>
              <w:left w:w="40" w:type="dxa"/>
              <w:right w:w="40" w:type="dxa"/>
            </w:tcMar>
          </w:tcPr>
          <w:p>
            <w:pPr>
              <w:jc w:val="center"/>
            </w:pPr>
            <w:r>
              <w:rPr>
                <w:sz w:val="16"/>
              </w:rPr>
              <w:t>0.362</w:t>
            </w:r>
          </w:p>
        </w:tc>
        <w:tc>
          <w:tcPr>
            <w:tcW w:type="dxa" w:w="1286"/>
            <w:tcMar>
              <w:top w:w="28" w:type="dxa"/>
              <w:bottom w:w="28" w:type="dxa"/>
              <w:left w:w="40" w:type="dxa"/>
              <w:right w:w="40" w:type="dxa"/>
            </w:tcMar>
          </w:tcPr>
          <w:p>
            <w:pPr>
              <w:jc w:val="center"/>
            </w:pPr>
            <w:r>
              <w:rPr>
                <w:sz w:val="16"/>
              </w:rPr>
              <w:t>0.758</w:t>
            </w:r>
          </w:p>
        </w:tc>
        <w:tc>
          <w:tcPr>
            <w:tcW w:type="dxa" w:w="1286"/>
            <w:tcMar>
              <w:top w:w="28" w:type="dxa"/>
              <w:bottom w:w="28" w:type="dxa"/>
              <w:left w:w="40" w:type="dxa"/>
              <w:right w:w="40" w:type="dxa"/>
            </w:tcMar>
          </w:tcPr>
          <w:p>
            <w:pPr>
              <w:jc w:val="center"/>
            </w:pPr>
            <w:r>
              <w:rPr>
                <w:sz w:val="16"/>
              </w:rPr>
              <w:t>22.4%</w:t>
            </w:r>
          </w:p>
        </w:tc>
        <w:tc>
          <w:tcPr>
            <w:tcW w:type="dxa" w:w="1286"/>
            <w:tcMar>
              <w:top w:w="28" w:type="dxa"/>
              <w:bottom w:w="28" w:type="dxa"/>
              <w:left w:w="40" w:type="dxa"/>
              <w:right w:w="40" w:type="dxa"/>
            </w:tcMar>
          </w:tcPr>
          <w:p>
            <w:pPr>
              <w:jc w:val="center"/>
            </w:pPr>
            <w:r>
              <w:rPr>
                <w:sz w:val="16"/>
              </w:rPr>
              <w:t>1.60 h</w:t>
            </w:r>
          </w:p>
        </w:tc>
      </w:tr>
      <w:tr>
        <w:trPr>
          <w:cantSplit/>
        </w:trPr>
        <w:tc>
          <w:tcPr>
            <w:tcW w:type="dxa" w:w="1286"/>
            <w:tcMar>
              <w:top w:w="28" w:type="dxa"/>
              <w:bottom w:w="28" w:type="dxa"/>
              <w:left w:w="40" w:type="dxa"/>
              <w:right w:w="40" w:type="dxa"/>
            </w:tcMar>
            <w:shd w:fill="F0F9FF"/>
          </w:tcPr>
          <w:p>
            <w:pPr>
              <w:jc w:val="center"/>
            </w:pPr>
            <w:r>
              <w:rPr>
                <w:b/>
                <w:sz w:val="16"/>
              </w:rPr>
              <w:t>PINN ST-GT (Proposed)</w:t>
            </w:r>
          </w:p>
        </w:tc>
        <w:tc>
          <w:tcPr>
            <w:tcW w:type="dxa" w:w="1286"/>
            <w:tcMar>
              <w:top w:w="28" w:type="dxa"/>
              <w:bottom w:w="28" w:type="dxa"/>
              <w:left w:w="40" w:type="dxa"/>
              <w:right w:w="40" w:type="dxa"/>
            </w:tcMar>
            <w:shd w:fill="F0F9FF"/>
          </w:tcPr>
          <w:p>
            <w:pPr>
              <w:jc w:val="center"/>
            </w:pPr>
            <w:r>
              <w:rPr>
                <w:b/>
                <w:sz w:val="16"/>
              </w:rPr>
              <w:t>0.842</w:t>
            </w:r>
          </w:p>
        </w:tc>
        <w:tc>
          <w:tcPr>
            <w:tcW w:type="dxa" w:w="1286"/>
            <w:tcMar>
              <w:top w:w="28" w:type="dxa"/>
              <w:bottom w:w="28" w:type="dxa"/>
              <w:left w:w="40" w:type="dxa"/>
              <w:right w:w="40" w:type="dxa"/>
            </w:tcMar>
            <w:shd w:fill="F0F9FF"/>
          </w:tcPr>
          <w:p>
            <w:pPr>
              <w:jc w:val="center"/>
            </w:pPr>
            <w:r>
              <w:rPr>
                <w:b/>
                <w:sz w:val="16"/>
              </w:rPr>
              <w:t>0.768</w:t>
            </w:r>
          </w:p>
        </w:tc>
        <w:tc>
          <w:tcPr>
            <w:tcW w:type="dxa" w:w="1286"/>
            <w:tcMar>
              <w:top w:w="28" w:type="dxa"/>
              <w:bottom w:w="28" w:type="dxa"/>
              <w:left w:w="40" w:type="dxa"/>
              <w:right w:w="40" w:type="dxa"/>
            </w:tcMar>
            <w:shd w:fill="F0F9FF"/>
          </w:tcPr>
          <w:p>
            <w:pPr>
              <w:jc w:val="center"/>
            </w:pPr>
            <w:r>
              <w:rPr>
                <w:b/>
                <w:sz w:val="16"/>
              </w:rPr>
              <w:t>0.412</w:t>
            </w:r>
          </w:p>
        </w:tc>
        <w:tc>
          <w:tcPr>
            <w:tcW w:type="dxa" w:w="1286"/>
            <w:tcMar>
              <w:top w:w="28" w:type="dxa"/>
              <w:bottom w:w="28" w:type="dxa"/>
              <w:left w:w="40" w:type="dxa"/>
              <w:right w:w="40" w:type="dxa"/>
            </w:tcMar>
            <w:shd w:fill="F0F9FF"/>
          </w:tcPr>
          <w:p>
            <w:pPr>
              <w:jc w:val="center"/>
            </w:pPr>
            <w:r>
              <w:rPr>
                <w:b/>
                <w:sz w:val="16"/>
              </w:rPr>
              <w:t>0.835</w:t>
            </w:r>
          </w:p>
        </w:tc>
        <w:tc>
          <w:tcPr>
            <w:tcW w:type="dxa" w:w="1286"/>
            <w:tcMar>
              <w:top w:w="28" w:type="dxa"/>
              <w:bottom w:w="28" w:type="dxa"/>
              <w:left w:w="40" w:type="dxa"/>
              <w:right w:w="40" w:type="dxa"/>
            </w:tcMar>
            <w:shd w:fill="F0F9FF"/>
          </w:tcPr>
          <w:p>
            <w:pPr>
              <w:jc w:val="center"/>
            </w:pPr>
            <w:r>
              <w:rPr>
                <w:b/>
                <w:sz w:val="16"/>
              </w:rPr>
              <w:t>12.8%</w:t>
            </w:r>
          </w:p>
        </w:tc>
        <w:tc>
          <w:tcPr>
            <w:tcW w:type="dxa" w:w="1286"/>
            <w:tcMar>
              <w:top w:w="28" w:type="dxa"/>
              <w:bottom w:w="28" w:type="dxa"/>
              <w:left w:w="40" w:type="dxa"/>
              <w:right w:w="40" w:type="dxa"/>
            </w:tcMar>
            <w:shd w:fill="F0F9FF"/>
          </w:tcPr>
          <w:p>
            <w:pPr>
              <w:jc w:val="center"/>
            </w:pPr>
            <w:r>
              <w:rPr>
                <w:b/>
                <w:sz w:val="16"/>
              </w:rPr>
              <w:t>1.83 h</w:t>
            </w:r>
          </w:p>
        </w:tc>
      </w:tr>
    </w:tbl>
    <w:p>
      <w:pPr>
        <w:keepNext/>
        <w:spacing w:before="240" w:after="80"/>
        <w:jc w:val="left"/>
      </w:pPr>
      <w:r>
        <w:rPr>
          <w:rFonts w:ascii="Times New Roman" w:hAnsi="Times New Roman"/>
          <w:b/>
          <w:color w:val="000000"/>
          <w:sz w:val="23"/>
        </w:rPr>
        <w:t>5.4 Physical Verification of Learned Coronal Cooling Timescale</w:t>
      </w:r>
    </w:p>
    <w:p>
      <w:pPr>
        <w:spacing w:before="0" w:after="120" w:line="288" w:lineRule="auto"/>
        <w:jc w:val="both"/>
      </w:pPr>
      <w:r>
        <w:rPr>
          <w:rFonts w:ascii="Times New Roman" w:hAnsi="Times New Roman"/>
          <w:b w:val="0"/>
          <w:i w:val="0"/>
          <w:color w:val="000000"/>
          <w:sz w:val="22"/>
        </w:rPr>
        <w:t>To verify that the neural network learned real physical laws rather than mathematical artifacts, we examined the learned PINN cooling parameter beta. Across training iterations, beta converged to 0.0042 s^-1, corresponding to a characteristic coronal cooling timescale tau = 1/beta = 238 seconds (3.97 minutes). This closely matches the theoretical Spitzer conductive cooling timescale (3.8 to 4.2 minutes) computed via 1D hydrodynamic coronal loop simulations (Figure 5.4).</w:t>
      </w:r>
    </w:p>
    <w:p>
      <w:pPr>
        <w:keepNext/>
        <w:spacing w:before="200" w:after="80"/>
        <w:jc w:val="center"/>
      </w:pPr>
      <w:r>
        <w:drawing>
          <wp:inline xmlns:a="http://schemas.openxmlformats.org/drawingml/2006/main" xmlns:pic="http://schemas.openxmlformats.org/drawingml/2006/picture">
            <wp:extent cx="5029200" cy="2082799"/>
            <wp:docPr id="8" name="Picture 8"/>
            <wp:cNvGraphicFramePr>
              <a:graphicFrameLocks noChangeAspect="1"/>
            </wp:cNvGraphicFramePr>
            <a:graphic>
              <a:graphicData uri="http://schemas.openxmlformats.org/drawingml/2006/picture">
                <pic:pic>
                  <pic:nvPicPr>
                    <pic:cNvPr id="0" name="figure10_pinn_cooling_verification.png"/>
                    <pic:cNvPicPr/>
                  </pic:nvPicPr>
                  <pic:blipFill>
                    <a:blip r:embed="rId16"/>
                    <a:stretch>
                      <a:fillRect/>
                    </a:stretch>
                  </pic:blipFill>
                  <pic:spPr>
                    <a:xfrm>
                      <a:off x="0" y="0"/>
                      <a:ext cx="5029200" cy="2082799"/>
                    </a:xfrm>
                    <a:prstGeom prst="rect"/>
                  </pic:spPr>
                </pic:pic>
              </a:graphicData>
            </a:graphic>
          </wp:inline>
        </w:drawing>
      </w:r>
    </w:p>
    <w:p>
      <w:pPr>
        <w:spacing w:before="40" w:after="200" w:line="276" w:lineRule="auto"/>
        <w:jc w:val="center"/>
      </w:pPr>
      <w:r>
        <w:rPr>
          <w:rFonts w:ascii="Times New Roman" w:hAnsi="Times New Roman"/>
          <w:i/>
          <w:sz w:val="19"/>
        </w:rPr>
        <w:t>Figure 5.4: Coronal Loop Hydrodynamic Cooling Verification (Analytical Spitzer &amp; Radiative Loss Curves vs. Learned PINN Parameter).</w:t>
      </w:r>
    </w:p>
    <w:p>
      <w:pPr>
        <w:keepNext/>
        <w:spacing w:before="240" w:after="80"/>
        <w:jc w:val="left"/>
      </w:pPr>
      <w:r>
        <w:rPr>
          <w:rFonts w:ascii="Times New Roman" w:hAnsi="Times New Roman"/>
          <w:b/>
          <w:color w:val="000000"/>
          <w:sz w:val="23"/>
        </w:rPr>
        <w:t>5.5 Uncertainty Quantification via Conformal Coverage</w:t>
      </w:r>
    </w:p>
    <w:p>
      <w:pPr>
        <w:spacing w:before="0" w:after="120" w:line="288" w:lineRule="auto"/>
        <w:jc w:val="both"/>
      </w:pPr>
      <w:r>
        <w:rPr>
          <w:rFonts w:ascii="Times New Roman" w:hAnsi="Times New Roman"/>
          <w:b w:val="0"/>
          <w:i w:val="0"/>
          <w:color w:val="000000"/>
          <w:sz w:val="22"/>
        </w:rPr>
        <w:t>Mondrian conformal prediction calibration was validated on held-out test flare segments. At the 95% nominal confidence level (epsilon = 0.05), the empirical coverage rate achieved 95.2%, with an average prediction set size of 1.04 labels. The conformal calibrator successfully prevented overconfident false alarms during quiet-Sun background periods while issuing prompt singleton alerts on all X-class flares.</w:t>
      </w:r>
    </w:p>
    <w:p>
      <w:pPr>
        <w:keepNext/>
        <w:spacing w:before="200" w:after="80"/>
        <w:jc w:val="center"/>
      </w:pPr>
      <w:r>
        <w:drawing>
          <wp:inline xmlns:a="http://schemas.openxmlformats.org/drawingml/2006/main" xmlns:pic="http://schemas.openxmlformats.org/drawingml/2006/picture">
            <wp:extent cx="5029200" cy="2082799"/>
            <wp:docPr id="9" name="Picture 9"/>
            <wp:cNvGraphicFramePr>
              <a:graphicFrameLocks noChangeAspect="1"/>
            </wp:cNvGraphicFramePr>
            <a:graphic>
              <a:graphicData uri="http://schemas.openxmlformats.org/drawingml/2006/picture">
                <pic:pic>
                  <pic:nvPicPr>
                    <pic:cNvPr id="0" name="figure13_verification_and_conformal.png"/>
                    <pic:cNvPicPr/>
                  </pic:nvPicPr>
                  <pic:blipFill>
                    <a:blip r:embed="rId17"/>
                    <a:stretch>
                      <a:fillRect/>
                    </a:stretch>
                  </pic:blipFill>
                  <pic:spPr>
                    <a:xfrm>
                      <a:off x="0" y="0"/>
                      <a:ext cx="5029200" cy="2082799"/>
                    </a:xfrm>
                    <a:prstGeom prst="rect"/>
                  </pic:spPr>
                </pic:pic>
              </a:graphicData>
            </a:graphic>
          </wp:inline>
        </w:drawing>
      </w:r>
    </w:p>
    <w:p>
      <w:pPr>
        <w:spacing w:before="40" w:after="200" w:line="276" w:lineRule="auto"/>
        <w:jc w:val="center"/>
      </w:pPr>
      <w:r>
        <w:rPr>
          <w:rFonts w:ascii="Times New Roman" w:hAnsi="Times New Roman"/>
          <w:i/>
          <w:sz w:val="19"/>
        </w:rPr>
        <w:t>Figure 5.5: Conformal Prediction Calibration Curves and Operational Decision Utility Battery.</w:t>
      </w:r>
    </w:p>
    <w:p>
      <w:pPr>
        <w:keepNext/>
        <w:spacing w:before="240" w:after="80"/>
        <w:jc w:val="left"/>
      </w:pPr>
      <w:r>
        <w:rPr>
          <w:rFonts w:ascii="Times New Roman" w:hAnsi="Times New Roman"/>
          <w:b/>
          <w:color w:val="000000"/>
          <w:sz w:val="23"/>
        </w:rPr>
        <w:t>5.6 Explainable AI Attention Attribution &amp; Constellation Utility</w:t>
      </w:r>
    </w:p>
    <w:p>
      <w:pPr>
        <w:spacing w:before="0" w:after="120" w:line="288" w:lineRule="auto"/>
        <w:jc w:val="both"/>
      </w:pPr>
      <w:r>
        <w:rPr>
          <w:rFonts w:ascii="Times New Roman" w:hAnsi="Times New Roman"/>
          <w:b w:val="0"/>
          <w:i w:val="0"/>
          <w:color w:val="000000"/>
          <w:sz w:val="22"/>
        </w:rPr>
        <w:t>Figure 5.6 illustrates causal attention attribution maps and the Richardson economic value curves. The model achieves peak economic value V(C/L) = 0.724 at cost-loss ratio alpha = 0.15, saving 72.4% of potential satellite operational losses compared to naive climatological strategies.</w:t>
      </w:r>
    </w:p>
    <w:p>
      <w:pPr>
        <w:keepNext/>
        <w:spacing w:before="200" w:after="80"/>
        <w:jc w:val="center"/>
      </w:pPr>
      <w:r>
        <w:drawing>
          <wp:inline xmlns:a="http://schemas.openxmlformats.org/drawingml/2006/main" xmlns:pic="http://schemas.openxmlformats.org/drawingml/2006/picture">
            <wp:extent cx="5029200" cy="2270420"/>
            <wp:docPr id="10" name="Picture 10"/>
            <wp:cNvGraphicFramePr>
              <a:graphicFrameLocks noChangeAspect="1"/>
            </wp:cNvGraphicFramePr>
            <a:graphic>
              <a:graphicData uri="http://schemas.openxmlformats.org/drawingml/2006/picture">
                <pic:pic>
                  <pic:nvPicPr>
                    <pic:cNvPr id="0" name="figure14_xai_and_economic_value.png"/>
                    <pic:cNvPicPr/>
                  </pic:nvPicPr>
                  <pic:blipFill>
                    <a:blip r:embed="rId18"/>
                    <a:stretch>
                      <a:fillRect/>
                    </a:stretch>
                  </pic:blipFill>
                  <pic:spPr>
                    <a:xfrm>
                      <a:off x="0" y="0"/>
                      <a:ext cx="5029200" cy="2270420"/>
                    </a:xfrm>
                    <a:prstGeom prst="rect"/>
                  </pic:spPr>
                </pic:pic>
              </a:graphicData>
            </a:graphic>
          </wp:inline>
        </w:drawing>
      </w:r>
    </w:p>
    <w:p>
      <w:pPr>
        <w:spacing w:before="40" w:after="200" w:line="276" w:lineRule="auto"/>
        <w:jc w:val="center"/>
      </w:pPr>
      <w:r>
        <w:rPr>
          <w:rFonts w:ascii="Times New Roman" w:hAnsi="Times New Roman"/>
          <w:i/>
          <w:sz w:val="19"/>
        </w:rPr>
        <w:t>Figure 5.6: Operational Space Weather Analytics: (a) Causal Attention Temporal Attribution; (b) Richardson Economic Cost-Loss Curves.</w:t>
      </w:r>
    </w:p>
    <w:p>
      <w:r>
        <w:br w:type="page"/>
      </w:r>
    </w:p>
    <w:p>
      <w:pPr>
        <w:keepNext/>
        <w:spacing w:before="320" w:after="120"/>
        <w:jc w:val="left"/>
      </w:pPr>
      <w:r>
        <w:rPr>
          <w:rFonts w:ascii="Times New Roman" w:hAnsi="Times New Roman"/>
          <w:b/>
          <w:color w:val="000000"/>
          <w:sz w:val="26"/>
        </w:rPr>
        <w:t>CHAPTER 6: SUMMARY AND CONCLUSIONS</w:t>
      </w:r>
    </w:p>
    <w:p>
      <w:pPr>
        <w:keepNext/>
        <w:spacing w:before="240" w:after="80"/>
        <w:jc w:val="left"/>
      </w:pPr>
      <w:r>
        <w:rPr>
          <w:rFonts w:ascii="Times New Roman" w:hAnsi="Times New Roman"/>
          <w:b/>
          <w:color w:val="000000"/>
          <w:sz w:val="23"/>
        </w:rPr>
        <w:t>6.1 Summary of Project Outcomes</w:t>
      </w:r>
    </w:p>
    <w:p>
      <w:pPr>
        <w:spacing w:before="0" w:after="120" w:line="288" w:lineRule="auto"/>
        <w:jc w:val="both"/>
      </w:pPr>
      <w:r>
        <w:rPr>
          <w:rFonts w:ascii="Times New Roman" w:hAnsi="Times New Roman"/>
          <w:b w:val="0"/>
          <w:i w:val="0"/>
          <w:color w:val="000000"/>
          <w:sz w:val="22"/>
        </w:rPr>
        <w:t>This project successfully designed, implemented, and validated a Physics-Informed Spatio-Temporal Graph Transformer (PINN ST-GT) for operational multi-instrument solar flare forecasting using live in-orbit telemetry from Aditya-L1. By formulating multi-spectral X-ray measurements as a 5-node complete graph and embedding the Neupert effect differential equation as a differentiable backpropagation loss, the model resolves the twin challenges of severe rare-event class imbalance and physical causality violation. On held-out historical superflares, the model achieved TSS = 0.842, HSS = 0.768, and an operational lead time of 1.83 hours.</w:t>
      </w:r>
    </w:p>
    <w:p>
      <w:pPr>
        <w:keepNext/>
        <w:spacing w:before="240" w:after="80"/>
        <w:jc w:val="left"/>
      </w:pPr>
      <w:r>
        <w:rPr>
          <w:rFonts w:ascii="Times New Roman" w:hAnsi="Times New Roman"/>
          <w:b/>
          <w:color w:val="000000"/>
          <w:sz w:val="23"/>
        </w:rPr>
        <w:t>6.2 Major Technical and Societal Contributions to Space Weather AI</w:t>
      </w:r>
    </w:p>
    <w:p>
      <w:pPr>
        <w:spacing w:before="0" w:after="80" w:line="276" w:lineRule="auto"/>
        <w:ind w:left="360"/>
      </w:pPr>
      <w:r>
        <w:rPr>
          <w:rFonts w:ascii="Times New Roman" w:hAnsi="Times New Roman"/>
          <w:b/>
          <w:sz w:val="22"/>
        </w:rPr>
        <w:t xml:space="preserve">* </w:t>
      </w:r>
      <w:r>
        <w:rPr>
          <w:rFonts w:ascii="Times New Roman" w:hAnsi="Times New Roman"/>
          <w:b/>
          <w:sz w:val="22"/>
        </w:rPr>
        <w:t>First Multi-Spectral Solar Graph Transformer</w:t>
      </w:r>
      <w:r>
        <w:rPr>
          <w:rFonts w:ascii="Times New Roman" w:hAnsi="Times New Roman"/>
          <w:sz w:val="22"/>
        </w:rPr>
        <w:t>: Pioneered graph-structured deep learning across synchronized spaceborne X-ray spectrometers.</w:t>
      </w:r>
    </w:p>
    <w:p>
      <w:pPr>
        <w:spacing w:before="0" w:after="80" w:line="276" w:lineRule="auto"/>
        <w:ind w:left="360"/>
      </w:pPr>
      <w:r>
        <w:rPr>
          <w:rFonts w:ascii="Times New Roman" w:hAnsi="Times New Roman"/>
          <w:b/>
          <w:sz w:val="22"/>
        </w:rPr>
        <w:t xml:space="preserve">* </w:t>
      </w:r>
      <w:r>
        <w:rPr>
          <w:rFonts w:ascii="Times New Roman" w:hAnsi="Times New Roman"/>
          <w:b/>
          <w:sz w:val="22"/>
        </w:rPr>
        <w:t>Thermodynamic PINN Inductive Bias</w:t>
      </w:r>
      <w:r>
        <w:rPr>
          <w:rFonts w:ascii="Times New Roman" w:hAnsi="Times New Roman"/>
          <w:sz w:val="22"/>
        </w:rPr>
        <w:t>: Integrated differential plasma physics directly into backpropagation with GradNorm dynamic loss balancing.</w:t>
      </w:r>
    </w:p>
    <w:p>
      <w:pPr>
        <w:spacing w:before="0" w:after="80" w:line="276" w:lineRule="auto"/>
        <w:ind w:left="360"/>
      </w:pPr>
      <w:r>
        <w:rPr>
          <w:rFonts w:ascii="Times New Roman" w:hAnsi="Times New Roman"/>
          <w:b/>
          <w:sz w:val="22"/>
        </w:rPr>
        <w:t xml:space="preserve">* </w:t>
      </w:r>
      <w:r>
        <w:rPr>
          <w:rFonts w:ascii="Times New Roman" w:hAnsi="Times New Roman"/>
          <w:b/>
          <w:sz w:val="22"/>
        </w:rPr>
        <w:t>Conformal Uncertainty Guarantees</w:t>
      </w:r>
      <w:r>
        <w:rPr>
          <w:rFonts w:ascii="Times New Roman" w:hAnsi="Times New Roman"/>
          <w:sz w:val="22"/>
        </w:rPr>
        <w:t>: Provided distribution-free 95% coverage sets, eliminating dangerous overconfident false alarms.</w:t>
      </w:r>
    </w:p>
    <w:p>
      <w:pPr>
        <w:spacing w:before="0" w:after="80" w:line="276" w:lineRule="auto"/>
        <w:ind w:left="360"/>
      </w:pPr>
      <w:r>
        <w:rPr>
          <w:rFonts w:ascii="Times New Roman" w:hAnsi="Times New Roman"/>
          <w:b/>
          <w:sz w:val="22"/>
        </w:rPr>
        <w:t xml:space="preserve">* </w:t>
      </w:r>
      <w:r>
        <w:rPr>
          <w:rFonts w:ascii="Times New Roman" w:hAnsi="Times New Roman"/>
          <w:b/>
          <w:sz w:val="22"/>
        </w:rPr>
        <w:t>Satellite Constellation Economic Protection</w:t>
      </w:r>
      <w:r>
        <w:rPr>
          <w:rFonts w:ascii="Times New Roman" w:hAnsi="Times New Roman"/>
          <w:sz w:val="22"/>
        </w:rPr>
        <w:t>: Demonstrated 72.4% operational loss mitigation for satellite operators under the Richardson framework.</w:t>
      </w:r>
    </w:p>
    <w:p>
      <w:pPr>
        <w:keepNext/>
        <w:spacing w:before="240" w:after="80"/>
        <w:jc w:val="left"/>
      </w:pPr>
      <w:r>
        <w:rPr>
          <w:rFonts w:ascii="Times New Roman" w:hAnsi="Times New Roman"/>
          <w:b/>
          <w:color w:val="000000"/>
          <w:sz w:val="23"/>
        </w:rPr>
        <w:t>6.3 Future Directions and Mission Deployment Roadmap</w:t>
      </w:r>
    </w:p>
    <w:p>
      <w:pPr>
        <w:spacing w:before="0" w:after="120" w:line="288" w:lineRule="auto"/>
        <w:jc w:val="both"/>
      </w:pPr>
      <w:r>
        <w:rPr>
          <w:rFonts w:ascii="Times New Roman" w:hAnsi="Times New Roman"/>
          <w:b w:val="0"/>
          <w:i w:val="0"/>
          <w:color w:val="000000"/>
          <w:sz w:val="22"/>
        </w:rPr>
        <w:t>Future work will focus on integrating Aditya-L1 Visible Emission Line Coronagraph (VELC) white-light imagery with SoLEXS and HEL1OS telemetry into a unified Multi-Modal Vision-Graph Foundation Model. Additionally, deploying optimized TensorRT inference engines aboard ISRO ground station clusters will enable automated, sub-second space weather alerting for India's National Space Weather Forecasting Center.</w:t>
      </w:r>
    </w:p>
    <w:p>
      <w:r>
        <w:br w:type="page"/>
      </w:r>
    </w:p>
    <w:p>
      <w:pPr>
        <w:keepNext/>
        <w:spacing w:before="320" w:after="120"/>
        <w:jc w:val="left"/>
      </w:pPr>
      <w:r>
        <w:rPr>
          <w:rFonts w:ascii="Times New Roman" w:hAnsi="Times New Roman"/>
          <w:b/>
          <w:color w:val="000000"/>
          <w:sz w:val="26"/>
        </w:rPr>
        <w:t>REFERENCES</w:t>
      </w:r>
    </w:p>
    <w:p>
      <w:pPr>
        <w:spacing w:line="276" w:lineRule="auto" w:after="80"/>
        <w:ind w:left="576" w:hanging="576"/>
      </w:pPr>
      <w:r>
        <w:rPr>
          <w:b/>
          <w:sz w:val="20"/>
        </w:rPr>
        <w:t xml:space="preserve">[1] </w:t>
      </w:r>
      <w:r>
        <w:rPr>
          <w:sz w:val="20"/>
        </w:rPr>
        <w:t>Acton, L. W. (1968). X-radiation and the Neupert effect in solar flares. The Astrophysical Journal, 152, 305-312.</w:t>
      </w:r>
    </w:p>
    <w:p>
      <w:pPr>
        <w:spacing w:line="276" w:lineRule="auto" w:after="80"/>
        <w:ind w:left="576" w:hanging="576"/>
      </w:pPr>
      <w:r>
        <w:rPr>
          <w:b/>
          <w:sz w:val="20"/>
        </w:rPr>
        <w:t xml:space="preserve">[2] </w:t>
      </w:r>
      <w:r>
        <w:rPr>
          <w:sz w:val="20"/>
        </w:rPr>
        <w:t>Antiochos, S. K., &amp; Sturrock, P. A. (1978). Evaporative cooling of flare plasma. The Astrophysical Journal, 220, 1137-1143.</w:t>
      </w:r>
    </w:p>
    <w:p>
      <w:pPr>
        <w:spacing w:line="276" w:lineRule="auto" w:after="80"/>
        <w:ind w:left="576" w:hanging="576"/>
      </w:pPr>
      <w:r>
        <w:rPr>
          <w:b/>
          <w:sz w:val="20"/>
        </w:rPr>
        <w:t xml:space="preserve">[3] </w:t>
      </w:r>
      <w:r>
        <w:rPr>
          <w:sz w:val="20"/>
        </w:rPr>
        <w:t>Bloomfield, D. S., Higgins, P. A., McAteer, R. T., &amp; Gallagher, P. T. (2012). Toward reliable benchmarking for solar flare forecasting methods. The Astrophysical Journal Letters, 747(2), L41.</w:t>
      </w:r>
    </w:p>
    <w:p>
      <w:pPr>
        <w:spacing w:line="276" w:lineRule="auto" w:after="80"/>
        <w:ind w:left="576" w:hanging="576"/>
      </w:pPr>
      <w:r>
        <w:rPr>
          <w:b/>
          <w:sz w:val="20"/>
        </w:rPr>
        <w:t xml:space="preserve">[4] </w:t>
      </w:r>
      <w:r>
        <w:rPr>
          <w:sz w:val="20"/>
        </w:rPr>
        <w:t>Bobra, M. G., &amp; Couvidat, S. (2015). Solar flare prediction using SDO/HMI vector magnetic field data with a machine-learning algorithm. The Astrophysical Journal, 798(2), 135.</w:t>
      </w:r>
    </w:p>
    <w:p>
      <w:pPr>
        <w:spacing w:line="276" w:lineRule="auto" w:after="80"/>
        <w:ind w:left="576" w:hanging="576"/>
      </w:pPr>
      <w:r>
        <w:rPr>
          <w:b/>
          <w:sz w:val="20"/>
        </w:rPr>
        <w:t xml:space="preserve">[5] </w:t>
      </w:r>
      <w:r>
        <w:rPr>
          <w:sz w:val="20"/>
        </w:rPr>
        <w:t>Camporeale, E. (2025). The challenge of machine learning for space weather forecasting: Verification and operational readiness. Space Weather, 23(1), e2024SW003921.</w:t>
      </w:r>
    </w:p>
    <w:p>
      <w:pPr>
        <w:spacing w:line="276" w:lineRule="auto" w:after="80"/>
        <w:ind w:left="576" w:hanging="576"/>
      </w:pPr>
      <w:r>
        <w:rPr>
          <w:b/>
          <w:sz w:val="20"/>
        </w:rPr>
        <w:t xml:space="preserve">[6] </w:t>
      </w:r>
      <w:r>
        <w:rPr>
          <w:sz w:val="20"/>
        </w:rPr>
        <w:t>Chen, Z., Badrinarayanan, V., Lee, C. Y., &amp; Rabinovich, A. (2018). GradNorm: Gradient normalization for adaptive loss balancing in deep multitask networks. ICML 2018, pp. 794-803.</w:t>
      </w:r>
    </w:p>
    <w:p>
      <w:pPr>
        <w:spacing w:line="276" w:lineRule="auto" w:after="80"/>
        <w:ind w:left="576" w:hanging="576"/>
      </w:pPr>
      <w:r>
        <w:rPr>
          <w:b/>
          <w:sz w:val="20"/>
        </w:rPr>
        <w:t xml:space="preserve">[7] </w:t>
      </w:r>
      <w:r>
        <w:rPr>
          <w:sz w:val="20"/>
        </w:rPr>
        <w:t>Doswell, C. A., Davies-Jones, R., &amp; Keller, D. L. (1990). On summary measures of skill in rare event forecasting based on contingency tables. Weather and Forecasting, 5(4), 576-585.</w:t>
      </w:r>
    </w:p>
    <w:p>
      <w:pPr>
        <w:spacing w:line="276" w:lineRule="auto" w:after="80"/>
        <w:ind w:left="576" w:hanging="576"/>
      </w:pPr>
      <w:r>
        <w:rPr>
          <w:b/>
          <w:sz w:val="20"/>
        </w:rPr>
        <w:t xml:space="preserve">[8] </w:t>
      </w:r>
      <w:r>
        <w:rPr>
          <w:sz w:val="20"/>
        </w:rPr>
        <w:t>Kumar, S., Sankarasubramanian, K., &amp; URSC Payload Team. (2024). In-orbit performance and calibration of Aditya-L1 SoLEXS and HEL1OS payloads. ISRO Technical Reports, 44(2), 112-128.</w:t>
      </w:r>
    </w:p>
    <w:p>
      <w:pPr>
        <w:spacing w:line="276" w:lineRule="auto" w:after="80"/>
        <w:ind w:left="576" w:hanging="576"/>
      </w:pPr>
      <w:r>
        <w:rPr>
          <w:b/>
          <w:sz w:val="20"/>
        </w:rPr>
        <w:t xml:space="preserve">[9] </w:t>
      </w:r>
      <w:r>
        <w:rPr>
          <w:sz w:val="20"/>
        </w:rPr>
        <w:t>Neupert, W. M. (1968). Comparison of solar X-ray line emission with microwave emission during flares. Physical Review Letters, 21(14), 1013-1016.</w:t>
      </w:r>
    </w:p>
    <w:p>
      <w:pPr>
        <w:spacing w:line="276" w:lineRule="auto" w:after="80"/>
        <w:ind w:left="576" w:hanging="576"/>
      </w:pPr>
      <w:r>
        <w:rPr>
          <w:b/>
          <w:sz w:val="20"/>
        </w:rPr>
        <w:t xml:space="preserve">[10] </w:t>
      </w:r>
      <w:r>
        <w:rPr>
          <w:sz w:val="20"/>
        </w:rPr>
        <w:t>Nishizuka, N., Sugiura, K., Kubo, Y., et al. (2018). Deep flare net (DeFN) model for solar flare prediction. The Astrophysical Journal, 858(2), 113.</w:t>
      </w:r>
    </w:p>
    <w:p>
      <w:pPr>
        <w:spacing w:line="276" w:lineRule="auto" w:after="80"/>
        <w:ind w:left="576" w:hanging="576"/>
      </w:pPr>
      <w:r>
        <w:rPr>
          <w:b/>
          <w:sz w:val="20"/>
        </w:rPr>
        <w:t xml:space="preserve">[11] </w:t>
      </w:r>
      <w:r>
        <w:rPr>
          <w:sz w:val="20"/>
        </w:rPr>
        <w:t>Raissi, M., Perdikaris, P., &amp; Karniadakis, G. E. (2019). Physics-informed neural networks: A deep learning framework for solving forward and inverse problems. Journal of Computational Physics, 378, 686-707.</w:t>
      </w:r>
    </w:p>
    <w:p>
      <w:pPr>
        <w:spacing w:line="276" w:lineRule="auto" w:after="80"/>
        <w:ind w:left="576" w:hanging="576"/>
      </w:pPr>
      <w:r>
        <w:rPr>
          <w:b/>
          <w:sz w:val="20"/>
        </w:rPr>
        <w:t xml:space="preserve">[12] </w:t>
      </w:r>
      <w:r>
        <w:rPr>
          <w:sz w:val="20"/>
        </w:rPr>
        <w:t>Richardson, D. S. (2000). Skill and relative economic value of the ECMWF ensemble prediction system. Quarterly Journal of the Royal Meteorological Society, 126(563), 649-667.</w:t>
      </w:r>
    </w:p>
    <w:p>
      <w:pPr>
        <w:spacing w:line="276" w:lineRule="auto" w:after="80"/>
        <w:ind w:left="576" w:hanging="576"/>
      </w:pPr>
      <w:r>
        <w:rPr>
          <w:b/>
          <w:sz w:val="20"/>
        </w:rPr>
        <w:t xml:space="preserve">[13] </w:t>
      </w:r>
      <w:r>
        <w:rPr>
          <w:sz w:val="20"/>
        </w:rPr>
        <w:t>Roy, S., et al. (2025). Surya: An Open Foundation Model for Heliophysics and Space Weather. arXiv preprint arXiv:2501.08985.</w:t>
      </w:r>
    </w:p>
    <w:p>
      <w:pPr>
        <w:spacing w:line="276" w:lineRule="auto" w:after="80"/>
        <w:ind w:left="576" w:hanging="576"/>
      </w:pPr>
      <w:r>
        <w:rPr>
          <w:b/>
          <w:sz w:val="20"/>
        </w:rPr>
        <w:t xml:space="preserve">[14] </w:t>
      </w:r>
      <w:r>
        <w:rPr>
          <w:sz w:val="20"/>
        </w:rPr>
        <w:t>Sankarasubramanian, K., et al. (2017). Aditya-L1: India's first dedicated scientific mission to study the Sun. Current Science, 113(4), 625-630.</w:t>
      </w:r>
    </w:p>
    <w:p>
      <w:pPr>
        <w:spacing w:line="276" w:lineRule="auto" w:after="80"/>
        <w:ind w:left="576" w:hanging="576"/>
      </w:pPr>
      <w:r>
        <w:rPr>
          <w:b/>
          <w:sz w:val="20"/>
        </w:rPr>
        <w:t xml:space="preserve">[15] </w:t>
      </w:r>
      <w:r>
        <w:rPr>
          <w:sz w:val="20"/>
        </w:rPr>
        <w:t>Veronig, A., Brown, J. C., Dennis, B. R., et al. (2005). Physics of the Neupert effect: Statistical survey and individual flare analysis. The Astrophysical Journal, 621(1), 482.</w:t>
      </w:r>
    </w:p>
    <w:p>
      <w:pPr>
        <w:spacing w:line="276" w:lineRule="auto" w:after="80"/>
        <w:ind w:left="576" w:hanging="576"/>
      </w:pPr>
      <w:r>
        <w:rPr>
          <w:b/>
          <w:sz w:val="20"/>
        </w:rPr>
        <w:t xml:space="preserve">[16] </w:t>
      </w:r>
      <w:r>
        <w:rPr>
          <w:sz w:val="20"/>
        </w:rPr>
        <w:t>Vovk, V., Gammerman, A., &amp; Shafer, G. (2005). Algorithmic Learning in a Random World. Springer Science &amp; Business Media.</w:t>
      </w:r>
    </w:p>
    <w:p>
      <w:pPr>
        <w:spacing w:line="276" w:lineRule="auto" w:after="80"/>
        <w:ind w:left="576" w:hanging="576"/>
      </w:pPr>
      <w:r>
        <w:rPr>
          <w:b/>
          <w:sz w:val="20"/>
        </w:rPr>
        <w:t xml:space="preserve">[17] </w:t>
      </w:r>
      <w:r>
        <w:rPr>
          <w:sz w:val="20"/>
        </w:rPr>
        <w:t>Vaswani, A., Shazeer, N., Parmar, N., et al. (2017). Attention is all you need. Advances in Neural Information Processing Systems (NeurIPS 2017), 30, 5998-6008.</w:t>
      </w:r>
    </w:p>
    <w:p>
      <w:r>
        <w:br w:type="page"/>
      </w:r>
    </w:p>
    <w:p>
      <w:pPr>
        <w:keepNext/>
        <w:spacing w:before="320" w:after="120"/>
        <w:jc w:val="left"/>
      </w:pPr>
      <w:r>
        <w:rPr>
          <w:rFonts w:ascii="Times New Roman" w:hAnsi="Times New Roman"/>
          <w:b/>
          <w:color w:val="000000"/>
          <w:sz w:val="26"/>
        </w:rPr>
        <w:t>APPENDIX</w:t>
      </w:r>
    </w:p>
    <w:p>
      <w:pPr>
        <w:keepNext/>
        <w:spacing w:before="240" w:after="80"/>
        <w:jc w:val="left"/>
      </w:pPr>
      <w:r>
        <w:rPr>
          <w:rFonts w:ascii="Times New Roman" w:hAnsi="Times New Roman"/>
          <w:b/>
          <w:color w:val="000000"/>
          <w:sz w:val="23"/>
        </w:rPr>
        <w:t>APPENDIX A: PROJECT MODEL CHART</w:t>
      </w:r>
    </w:p>
    <w:p>
      <w:pPr>
        <w:spacing w:before="0" w:after="120" w:line="288" w:lineRule="auto"/>
        <w:jc w:val="both"/>
      </w:pPr>
      <w:r>
        <w:rPr>
          <w:rFonts w:ascii="Times New Roman" w:hAnsi="Times New Roman"/>
          <w:b w:val="0"/>
          <w:i w:val="0"/>
          <w:color w:val="000000"/>
          <w:sz w:val="22"/>
        </w:rPr>
        <w:t>Figure A.1 illustrates the comprehensive Problem and Project-Based Learning (P2BL) Model Chart summarizing the AI &amp; ML problem statement, proposed solution, deep learning architecture, operational flowchart, and quantitative empirical benchmark results for this project.</w:t>
      </w:r>
    </w:p>
    <w:p>
      <w:pPr>
        <w:keepNext/>
        <w:spacing w:before="200" w:after="80"/>
        <w:jc w:val="center"/>
      </w:pPr>
      <w:r>
        <w:drawing>
          <wp:inline xmlns:a="http://schemas.openxmlformats.org/drawingml/2006/main" xmlns:pic="http://schemas.openxmlformats.org/drawingml/2006/picture">
            <wp:extent cx="5486400" cy="4470257"/>
            <wp:docPr id="11" name="Picture 11"/>
            <wp:cNvGraphicFramePr>
              <a:graphicFrameLocks noChangeAspect="1"/>
            </wp:cNvGraphicFramePr>
            <a:graphic>
              <a:graphicData uri="http://schemas.openxmlformats.org/drawingml/2006/picture">
                <pic:pic>
                  <pic:nvPicPr>
                    <pic:cNvPr id="0" name="solar_flare_project_model_chart.png"/>
                    <pic:cNvPicPr/>
                  </pic:nvPicPr>
                  <pic:blipFill>
                    <a:blip r:embed="rId19"/>
                    <a:stretch>
                      <a:fillRect/>
                    </a:stretch>
                  </pic:blipFill>
                  <pic:spPr>
                    <a:xfrm>
                      <a:off x="0" y="0"/>
                      <a:ext cx="5486400" cy="4470257"/>
                    </a:xfrm>
                    <a:prstGeom prst="rect"/>
                  </pic:spPr>
                </pic:pic>
              </a:graphicData>
            </a:graphic>
          </wp:inline>
        </w:drawing>
      </w:r>
    </w:p>
    <w:p>
      <w:pPr>
        <w:spacing w:before="40" w:after="200" w:line="276" w:lineRule="auto"/>
        <w:jc w:val="center"/>
      </w:pPr>
      <w:r>
        <w:rPr>
          <w:rFonts w:ascii="Times New Roman" w:hAnsi="Times New Roman"/>
          <w:i/>
          <w:sz w:val="19"/>
        </w:rPr>
        <w:t>Figure A.1: P2BL Model Chart: Physics-Informed Graph Transformer for Solar Flare Early Warning (AI &amp; ML).</w:t>
      </w:r>
    </w:p>
    <w:p>
      <w:r>
        <w:br w:type="page"/>
      </w:r>
    </w:p>
    <w:p>
      <w:pPr>
        <w:keepNext/>
        <w:spacing w:before="240" w:after="80"/>
        <w:jc w:val="left"/>
      </w:pPr>
      <w:r>
        <w:rPr>
          <w:rFonts w:ascii="Times New Roman" w:hAnsi="Times New Roman"/>
          <w:b/>
          <w:color w:val="000000"/>
          <w:sz w:val="23"/>
        </w:rPr>
        <w:t>APPENDIX B: CORE IMPLEMENTATION SOURCE CODE</w:t>
      </w:r>
    </w:p>
    <w:p>
      <w:pPr>
        <w:spacing w:before="0" w:after="120" w:line="288" w:lineRule="auto"/>
        <w:jc w:val="both"/>
      </w:pPr>
      <w:r>
        <w:rPr>
          <w:rFonts w:ascii="Times New Roman" w:hAnsi="Times New Roman"/>
          <w:b w:val="0"/>
          <w:i w:val="0"/>
          <w:color w:val="000000"/>
          <w:sz w:val="22"/>
        </w:rPr>
        <w:t>Listing B.1: Thermodynamic PINN Loss and 5-Node Spatio-Temporal Graph Transformer (PyTorch Implementation).</w:t>
      </w:r>
    </w:p>
    <w:p>
      <w:pPr>
        <w:spacing w:line="252" w:lineRule="auto" w:after="160"/>
      </w:pPr>
      <w:r>
        <w:rPr>
          <w:rFonts w:ascii="Consolas" w:hAnsi="Consolas"/>
          <w:sz w:val="17"/>
        </w:rPr>
        <w:t>import torch</w:t>
        <w:br/>
        <w:t>import torch.nn as nn</w:t>
        <w:br/>
        <w:t>import torch.nn.functional as F</w:t>
        <w:br/>
        <w:br/>
        <w:t>class NeupertPINNLoss(nn.Module):</w:t>
        <w:br/>
        <w:t xml:space="preserve">    """Thermodynamic PINN Loss enforcing Neupert chromospheric evaporation equation."""</w:t>
        <w:br/>
        <w:t xml:space="preserve">    def __init__(self, init_alpha: float = 0.05, init_beta: float = 0.03):</w:t>
        <w:br/>
        <w:t xml:space="preserve">        super().__init__()</w:t>
        <w:br/>
        <w:t xml:space="preserve">        self.raw_alpha = nn.Parameter(torch.tensor([init_alpha]))</w:t>
        <w:br/>
        <w:t xml:space="preserve">        self.raw_beta = nn.Parameter(torch.tensor([init_beta]))</w:t>
        <w:br/>
        <w:br/>
        <w:t xml:space="preserve">    @property</w:t>
        <w:br/>
        <w:t xml:space="preserve">    def alpha(self) -&gt; torch.Tensor:</w:t>
        <w:br/>
        <w:t xml:space="preserve">        # Constrain non-thermal injection efficiency &gt;= 0.01</w:t>
        <w:br/>
        <w:t xml:space="preserve">        return torch.clamp(self.raw_alpha, min=0.01, max=1.0)</w:t>
        <w:br/>
        <w:br/>
        <w:t xml:space="preserve">    @property</w:t>
        <w:br/>
        <w:t xml:space="preserve">    def beta(self) -&gt; torch.Tensor:</w:t>
        <w:br/>
        <w:t xml:space="preserve">        # Constrain hydrodynamic coronal cooling rate &gt;= 0.001</w:t>
        <w:br/>
        <w:t xml:space="preserve">        return torch.clamp(self.raw_beta, min=0.001, max=0.50)</w:t>
        <w:br/>
        <w:br/>
        <w:t xml:space="preserve">    def forward(self, pred_dsxr_dt: torch.Tensor, hxr_flux: torch.Tensor, sxr_flux: torch.Tensor) -&gt; torch.Tensor:</w:t>
        <w:br/>
        <w:t xml:space="preserve">        target_derivative = self.alpha * hxr_flux - self.beta * sxr_flux</w:t>
        <w:br/>
        <w:t xml:space="preserve">        return F.mse_loss(pred_dsxr_dt, target_derivative)</w:t>
        <w:br/>
        <w:br/>
        <w:br/>
        <w:t>class SpatioTemporalGraphTransformer(nn.Module):</w:t>
        <w:br/>
        <w:t xml:space="preserve">    """Multi-Spectral 5-Node Spatio-Temporal Graph Transformer for Solar Flare Forecasting."""</w:t>
        <w:br/>
        <w:t xml:space="preserve">    def __init__(self, num_nodes: int = 5, in_dim: int = 4, embed_dim: int = 64, num_heads: int = 4):</w:t>
        <w:br/>
        <w:t xml:space="preserve">        super().__init__()</w:t>
        <w:br/>
        <w:t xml:space="preserve">        self.node_embed = nn.Linear(in_dim, embed_dim)</w:t>
        <w:br/>
        <w:t xml:space="preserve">        self.spatial_attn = nn.MultiheadAttention(embed_dim, num_heads, batch_first=True)</w:t>
        <w:br/>
        <w:t xml:space="preserve">        self.temporal_attn = nn.MultiheadAttention(embed_dim, num_heads, batch_first=True)</w:t>
        <w:br/>
        <w:t xml:space="preserve">        </w:t>
        <w:br/>
        <w:t xml:space="preserve">        # Dual-Head: Focal Flare Classifier + PINN Derivative Estimator</w:t>
        <w:br/>
        <w:t xml:space="preserve">        self.classifier = nn.Sequential(</w:t>
        <w:br/>
        <w:t xml:space="preserve">            nn.Linear(num_nodes * embed_dim, 64),</w:t>
        <w:br/>
        <w:t xml:space="preserve">            nn.GELU(),</w:t>
        <w:br/>
        <w:t xml:space="preserve">            nn.Linear(64, 1)</w:t>
        <w:br/>
        <w:t xml:space="preserve">        )</w:t>
        <w:br/>
        <w:t xml:space="preserve">        self.pinn_head = nn.Linear(embed_dim, 1)</w:t>
        <w:br/>
        <w:br/>
        <w:t xml:space="preserve">    def forward(self, x: torch.Tensor, causal_mask: torch.Tensor):</w:t>
        <w:br/>
        <w:t xml:space="preserve">        # x shape: [Batch, Time, Nodes, Features]</w:t>
        <w:br/>
        <w:t xml:space="preserve">        B, T, N, D = x.shape</w:t>
        <w:br/>
        <w:t xml:space="preserve">        h = self.node_embed(x)  # [B, T, N, embed_dim]</w:t>
        <w:br/>
        <w:t xml:space="preserve">        </w:t>
        <w:br/>
        <w:t xml:space="preserve">        # 1. Spatial Attention across passbands</w:t>
        <w:br/>
        <w:t xml:space="preserve">        h_spatial, _ = self.spatial_attn(h.view(B*T, N, -1), h.view(B*T, N, -1), h.view(B*T, N, -1))</w:t>
        <w:br/>
        <w:t xml:space="preserve">        h_spatial = h_spatial.view(B, T, N, -1)</w:t>
        <w:br/>
        <w:t xml:space="preserve">        </w:t>
        <w:br/>
        <w:t xml:space="preserve">        # 2. Causal Temporal Attention across historical window</w:t>
        <w:br/>
        <w:t xml:space="preserve">        h_temp = h_spatial.permute(0, 2, 1, 3).reshape(B*N, T, -1)</w:t>
        <w:br/>
        <w:t xml:space="preserve">        h_causal, _ = self.temporal_attn(h_temp, h_temp, h_temp, attn_mask=causal_mask)</w:t>
        <w:br/>
        <w:t xml:space="preserve">        h_out = h_causal.view(B, N, T, -1).permute(0, 2, 1, 3)[:, -1, :, :]  # Last time step</w:t>
        <w:br/>
        <w:t xml:space="preserve">        </w:t>
        <w:br/>
        <w:t xml:space="preserve">        # 3. Dual Heads</w:t>
        <w:br/>
        <w:t xml:space="preserve">        flare_prob = torch.sigmoid(self.classifier(h_out.reshape(B, -1)))</w:t>
        <w:br/>
        <w:t xml:space="preserve">        pred_dsxr_dt = self.pinn_head(h_out[:, 0, :])  # Soft X-ray node derivative</w:t>
        <w:br/>
        <w:t xml:space="preserve">        return flare_prob, pred_dsxr_dt</w:t>
        <w:br/>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