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Arial" w:hAnsi="Arial"/>
          <w:b/>
          <w:i w:val="0"/>
          <w:color w:val="000000"/>
          <w:sz w:val="30"/>
        </w:rPr>
        <w:t>PROBLEM AND PROJECT-BASED LEARNING REPORT</w:t>
      </w:r>
    </w:p>
    <w:p>
      <w:pPr>
        <w:spacing w:before="40" w:after="160" w:line="300" w:lineRule="auto"/>
        <w:jc w:val="center"/>
      </w:pPr>
      <w:r>
        <w:rPr>
          <w:rFonts w:ascii="Arial" w:hAnsi="Arial"/>
          <w:b/>
          <w:i w:val="0"/>
          <w:color w:val="000000"/>
          <w:sz w:val="25"/>
        </w:rPr>
        <w:t>entitled</w:t>
      </w:r>
    </w:p>
    <w:p>
      <w:pPr>
        <w:spacing w:before="40" w:after="200" w:line="283" w:lineRule="auto"/>
        <w:jc w:val="center"/>
      </w:pPr>
      <w:r>
        <w:rPr>
          <w:rFonts w:ascii="Arial" w:hAnsi="Arial"/>
          <w:b/>
          <w:i w:val="0"/>
          <w:color w:val="000000"/>
          <w:sz w:val="25"/>
        </w:rPr>
        <w:t>PHYSICS-INFORMED SPATIO-TEMPORAL GRAPH TRANSFORMER FOR MULTI-INSTRUMENT SOLAR FLARE FORECASTING USING ADITYA-L1 TELEMETRY</w:t>
      </w:r>
    </w:p>
    <w:p>
      <w:pPr>
        <w:spacing w:before="40" w:after="160" w:line="276" w:lineRule="auto"/>
        <w:jc w:val="center"/>
      </w:pPr>
      <w:r>
        <w:rPr>
          <w:rFonts w:ascii="Arial" w:hAnsi="Arial"/>
          <w:b w:val="0"/>
          <w:i w:val="0"/>
          <w:color w:val="000000"/>
          <w:sz w:val="21"/>
        </w:rPr>
        <w:t>Submitted in partial fulfillment of the requirements for the award of Bachelor of Technology degree in Artificial Intelligence and Machine Learning.</w:t>
      </w:r>
    </w:p>
    <w:p>
      <w:pPr>
        <w:spacing w:before="40" w:after="60" w:line="300" w:lineRule="auto"/>
        <w:jc w:val="center"/>
      </w:pPr>
      <w:r>
        <w:rPr>
          <w:rFonts w:ascii="Arial" w:hAnsi="Arial"/>
          <w:b w:val="0"/>
          <w:i w:val="0"/>
          <w:color w:val="000000"/>
          <w:sz w:val="22"/>
        </w:rPr>
        <w:t>By</w:t>
      </w:r>
    </w:p>
    <w:p>
      <w:pPr>
        <w:spacing w:before="20" w:after="20" w:line="300" w:lineRule="auto"/>
        <w:jc w:val="center"/>
      </w:pPr>
      <w:r>
        <w:rPr>
          <w:rFonts w:ascii="Arial" w:hAnsi="Arial"/>
          <w:b/>
          <w:i w:val="0"/>
          <w:color w:val="000000"/>
          <w:sz w:val="22"/>
        </w:rPr>
        <w:t>NAVEENKUMAR S (145611266)</w:t>
      </w:r>
    </w:p>
    <w:p>
      <w:pPr>
        <w:spacing w:before="20" w:after="20" w:line="300" w:lineRule="auto"/>
        <w:jc w:val="center"/>
      </w:pPr>
      <w:r>
        <w:rPr>
          <w:rFonts w:ascii="Arial" w:hAnsi="Arial"/>
          <w:b/>
          <w:i w:val="0"/>
          <w:color w:val="000000"/>
          <w:sz w:val="22"/>
        </w:rPr>
        <w:t>DHAYANETHI E (145611291)</w:t>
      </w:r>
    </w:p>
    <w:p>
      <w:pPr>
        <w:spacing w:before="20" w:after="20" w:line="300" w:lineRule="auto"/>
        <w:jc w:val="center"/>
      </w:pPr>
      <w:r>
        <w:rPr>
          <w:rFonts w:ascii="Arial" w:hAnsi="Arial"/>
          <w:b/>
          <w:i w:val="0"/>
          <w:color w:val="000000"/>
          <w:sz w:val="22"/>
        </w:rPr>
        <w:t>SANJAY B L (145611272)</w:t>
      </w:r>
    </w:p>
    <w:p>
      <w:pPr>
        <w:spacing w:before="20" w:after="20" w:line="300" w:lineRule="auto"/>
        <w:jc w:val="center"/>
      </w:pPr>
      <w:r>
        <w:rPr>
          <w:rFonts w:ascii="Arial" w:hAnsi="Arial"/>
          <w:b/>
          <w:i w:val="0"/>
          <w:color w:val="000000"/>
          <w:sz w:val="22"/>
        </w:rPr>
        <w:t>VIKASH V (145611281)</w:t>
      </w:r>
    </w:p>
    <w:p>
      <w:pPr>
        <w:spacing w:before="160" w:after="200"/>
        <w:jc w:val="center"/>
      </w:pPr>
      <w:r>
        <w:drawing>
          <wp:inline xmlns:a="http://schemas.openxmlformats.org/drawingml/2006/main" xmlns:pic="http://schemas.openxmlformats.org/drawingml/2006/picture">
            <wp:extent cx="4114800" cy="1552854"/>
            <wp:docPr id="1" name="Picture 1"/>
            <wp:cNvGraphicFramePr>
              <a:graphicFrameLocks noChangeAspect="1"/>
            </wp:cNvGraphicFramePr>
            <a:graphic>
              <a:graphicData uri="http://schemas.openxmlformats.org/drawingml/2006/picture">
                <pic:pic>
                  <pic:nvPicPr>
                    <pic:cNvPr id="0" name="image2.jpeg"/>
                    <pic:cNvPicPr/>
                  </pic:nvPicPr>
                  <pic:blipFill>
                    <a:blip r:embed="rId9"/>
                    <a:stretch>
                      <a:fillRect/>
                    </a:stretch>
                  </pic:blipFill>
                  <pic:spPr>
                    <a:xfrm>
                      <a:off x="0" y="0"/>
                      <a:ext cx="4114800" cy="1552854"/>
                    </a:xfrm>
                    <a:prstGeom prst="rect"/>
                  </pic:spPr>
                </pic:pic>
              </a:graphicData>
            </a:graphic>
          </wp:inline>
        </w:drawing>
      </w:r>
    </w:p>
    <w:p>
      <w:pPr>
        <w:spacing w:before="40" w:after="40" w:line="300" w:lineRule="auto"/>
        <w:jc w:val="center"/>
      </w:pPr>
      <w:r>
        <w:rPr>
          <w:rFonts w:ascii="Arial" w:hAnsi="Arial"/>
          <w:b/>
          <w:i w:val="0"/>
          <w:color w:val="000000"/>
          <w:sz w:val="22"/>
        </w:rPr>
        <w:t>DEPARTMENT OF COMPUTER SCIENCE AND ENGINEERING</w:t>
      </w:r>
    </w:p>
    <w:p>
      <w:pPr>
        <w:spacing w:before="40" w:after="80" w:line="300" w:lineRule="auto"/>
        <w:jc w:val="center"/>
      </w:pPr>
      <w:r>
        <w:rPr>
          <w:rFonts w:ascii="Arial" w:hAnsi="Arial"/>
          <w:b/>
          <w:i w:val="0"/>
          <w:color w:val="000000"/>
          <w:sz w:val="25"/>
        </w:rPr>
        <w:t>SCHOOL OF COMPUTING</w:t>
      </w:r>
    </w:p>
    <w:p>
      <w:pPr>
        <w:spacing w:before="40" w:after="40" w:line="300" w:lineRule="auto"/>
        <w:jc w:val="center"/>
      </w:pPr>
      <w:r>
        <w:rPr>
          <w:rFonts w:ascii="Arial" w:hAnsi="Arial"/>
          <w:b/>
          <w:i w:val="0"/>
          <w:color w:val="000000"/>
          <w:sz w:val="46"/>
        </w:rPr>
        <w:t>SATHYABAMA</w:t>
      </w:r>
    </w:p>
    <w:p>
      <w:pPr>
        <w:spacing w:before="20" w:after="20" w:line="300" w:lineRule="auto"/>
        <w:jc w:val="center"/>
      </w:pPr>
      <w:r>
        <w:rPr>
          <w:rFonts w:ascii="Arial" w:hAnsi="Arial"/>
          <w:b/>
          <w:i w:val="0"/>
          <w:color w:val="000000"/>
          <w:sz w:val="20"/>
        </w:rPr>
        <w:t>INSTITUTE OF SCIENCE AND TECHNOLOGY (DEEMED TO BE UNIVERSITY)</w:t>
      </w:r>
    </w:p>
    <w:p>
      <w:pPr>
        <w:spacing w:before="20" w:after="20" w:line="300" w:lineRule="auto"/>
        <w:jc w:val="center"/>
      </w:pPr>
      <w:r>
        <w:rPr>
          <w:rFonts w:ascii="Arial" w:hAnsi="Arial"/>
          <w:b/>
          <w:i w:val="0"/>
          <w:color w:val="000000"/>
          <w:sz w:val="20"/>
        </w:rPr>
        <w:t>CATEGORY - 1 UNIVERSITY BY UGC</w:t>
      </w:r>
    </w:p>
    <w:p>
      <w:pPr>
        <w:spacing w:before="40" w:after="120" w:line="276" w:lineRule="auto"/>
        <w:jc w:val="center"/>
      </w:pPr>
      <w:r>
        <w:rPr>
          <w:rFonts w:ascii="Arial" w:hAnsi="Arial"/>
          <w:b/>
          <w:i w:val="0"/>
          <w:color w:val="000000"/>
          <w:sz w:val="18"/>
        </w:rPr>
        <w:t>Accredited "A++" by NAAC | Approved by AICTE</w:t>
        <w:br/>
        <w:t>JEPPIAAR NAGAR, RAJIV GANDHI SALAI, CHENNAI - 600119</w:t>
      </w:r>
    </w:p>
    <w:p>
      <w:pPr>
        <w:spacing w:before="80" w:after="0" w:line="300" w:lineRule="auto"/>
        <w:jc w:val="center"/>
      </w:pPr>
      <w:r>
        <w:rPr>
          <w:rFonts w:ascii="Arial" w:hAnsi="Arial"/>
          <w:b/>
          <w:i w:val="0"/>
          <w:color w:val="000000"/>
          <w:sz w:val="22"/>
        </w:rPr>
        <w:t>October 2026</w:t>
      </w:r>
    </w:p>
    <w:p>
      <w:r>
        <w:br w:type="page"/>
      </w:r>
    </w:p>
    <w:p>
      <w:pPr>
        <w:spacing w:before="0" w:after="160"/>
        <w:jc w:val="center"/>
      </w:pPr>
      <w:r>
        <w:drawing>
          <wp:inline xmlns:a="http://schemas.openxmlformats.org/drawingml/2006/main" xmlns:pic="http://schemas.openxmlformats.org/drawingml/2006/picture">
            <wp:extent cx="5120640" cy="1448009"/>
            <wp:docPr id="2" name="Picture 2"/>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5120640" cy="1448009"/>
                    </a:xfrm>
                    <a:prstGeom prst="rect"/>
                  </pic:spPr>
                </pic:pic>
              </a:graphicData>
            </a:graphic>
          </wp:inline>
        </w:drawing>
      </w:r>
    </w:p>
    <w:p>
      <w:pPr>
        <w:spacing w:before="40" w:after="160" w:line="300" w:lineRule="auto"/>
        <w:jc w:val="center"/>
      </w:pPr>
      <w:r>
        <w:rPr>
          <w:rFonts w:ascii="Arial" w:hAnsi="Arial"/>
          <w:b/>
          <w:i w:val="0"/>
          <w:color w:val="000000"/>
          <w:sz w:val="24"/>
        </w:rPr>
        <w:t>DEPARTMENT OF COMPUTER SCIENCE AND ENGINEERING</w:t>
      </w:r>
    </w:p>
    <w:p>
      <w:pPr>
        <w:spacing w:before="40" w:after="320" w:line="300" w:lineRule="auto"/>
        <w:jc w:val="center"/>
      </w:pPr>
      <w:r>
        <w:rPr>
          <w:rFonts w:ascii="Arial" w:hAnsi="Arial"/>
          <w:b/>
          <w:i w:val="0"/>
          <w:color w:val="000000"/>
          <w:sz w:val="27"/>
        </w:rPr>
        <w:t>BONAFIDE CERTIFICATE</w:t>
      </w:r>
    </w:p>
    <w:p>
      <w:pPr>
        <w:spacing w:before="80" w:after="560" w:line="324" w:lineRule="auto"/>
        <w:jc w:val="both"/>
      </w:pPr>
      <w:r>
        <w:rPr>
          <w:rFonts w:ascii="Arial" w:hAnsi="Arial"/>
          <w:b w:val="0"/>
          <w:i w:val="0"/>
          <w:color w:val="000000"/>
          <w:sz w:val="22"/>
        </w:rPr>
        <w:t>This is to certify that this Project Report is the bonafide work of NAVEENKUMAR S (145611266), DHAYANETHI E (145611291), SANJAY B L (145611272), and VIKASH V (145611281) who carried out the P2BL Project entitled "PHYSICS-INFORMED SPATIO-TEMPORAL GRAPH TRANSFORMER FOR MULTI-INSTRUMENT SOLAR FLARE FORECASTING USING ADITYA-L1 TELEMETRY" under my supervision from June 2026 to October 2026.</w:t>
      </w:r>
    </w:p>
    <w:tbl>
      <w:tblPr>
        <w:tblW w:type="auto" w:w="0"/>
        <w:jc w:val="center"/>
        <w:tblLook w:firstColumn="1" w:firstRow="1" w:lastColumn="0" w:lastRow="0" w:noHBand="0" w:noVBand="1" w:val="04A0"/>
      </w:tblPr>
      <w:tblGrid>
        <w:gridCol w:w="4608"/>
        <w:gridCol w:w="4320"/>
      </w:tblGrid>
      <w:tr>
        <w:trPr>
          <w:cantSplit/>
        </w:trPr>
        <w:tc>
          <w:tcPr>
            <w:tcW w:type="dxa" w:w="4500"/>
            <w:tcMar>
              <w:top w:w="40" w:type="dxa"/>
              <w:bottom w:w="40" w:type="dxa"/>
              <w:left w:w="40" w:type="dxa"/>
              <w:right w:w="40" w:type="dxa"/>
            </w:tcMar>
          </w:tcPr>
          <w:p>
            <w:pPr>
              <w:spacing w:line="300" w:lineRule="auto"/>
            </w:pPr>
            <w:r>
              <w:rPr>
                <w:b/>
              </w:rPr>
              <w:t>Internal Guide</w:t>
              <w:br/>
            </w:r>
            <w:r>
              <w:t>Ms. K. Bavani, M.E,</w:t>
              <w:br/>
              <w:t>Assistant Professor</w:t>
              <w:br/>
              <w:t>Department of CSE</w:t>
            </w:r>
          </w:p>
        </w:tc>
        <w:tc>
          <w:tcPr>
            <w:tcW w:type="dxa" w:w="4500"/>
            <w:tcMar>
              <w:top w:w="40" w:type="dxa"/>
              <w:bottom w:w="40" w:type="dxa"/>
              <w:left w:w="40" w:type="dxa"/>
              <w:right w:w="40" w:type="dxa"/>
            </w:tcMar>
          </w:tcPr>
          <w:p>
            <w:pPr>
              <w:spacing w:line="300" w:lineRule="auto"/>
              <w:jc w:val="right"/>
            </w:pPr>
            <w:r>
              <w:rPr>
                <w:b/>
              </w:rPr>
              <w:t>Head of the Department</w:t>
              <w:br/>
            </w:r>
            <w:r>
              <w:t>Dr. Senduru Srinivasulu, M.E., Ph.D.,</w:t>
              <w:br/>
              <w:t>Professor &amp; Head</w:t>
              <w:br/>
              <w:t>Department of CSE</w:t>
            </w:r>
          </w:p>
        </w:tc>
      </w:tr>
    </w:tbl>
    <w:p>
      <w:pPr>
        <w:spacing w:before="1900" w:after="1100" w:line="300" w:lineRule="auto"/>
        <w:jc w:val="left"/>
      </w:pPr>
      <w:r>
        <w:rPr>
          <w:rFonts w:ascii="Arial" w:hAnsi="Arial"/>
          <w:b w:val="0"/>
          <w:i/>
          <w:color w:val="000000"/>
          <w:sz w:val="21"/>
        </w:rPr>
        <w:t>Submitted for P2BL Examination held on ____________________</w:t>
      </w:r>
    </w:p>
    <w:tbl>
      <w:tblPr>
        <w:tblW w:type="auto" w:w="0"/>
        <w:jc w:val="center"/>
        <w:tblLook w:firstColumn="1" w:firstRow="1" w:lastColumn="0" w:lastRow="0" w:noHBand="0" w:noVBand="1" w:val="04A0"/>
      </w:tblPr>
      <w:tblGrid>
        <w:gridCol w:w="4608"/>
        <w:gridCol w:w="4320"/>
      </w:tblGrid>
      <w:tr>
        <w:trPr>
          <w:cantSplit/>
        </w:trPr>
        <w:tc>
          <w:tcPr>
            <w:tcW w:type="dxa" w:w="4500"/>
          </w:tcPr>
          <w:p>
            <w:r>
              <w:rPr>
                <w:b/>
              </w:rPr>
              <w:t>Internal Examiner</w:t>
            </w:r>
          </w:p>
        </w:tc>
        <w:tc>
          <w:tcPr>
            <w:tcW w:type="dxa" w:w="4500"/>
          </w:tcPr>
          <w:p>
            <w:pPr>
              <w:jc w:val="right"/>
            </w:pPr>
            <w:r>
              <w:rPr>
                <w:b/>
              </w:rPr>
              <w:t>External Examiner</w:t>
            </w:r>
          </w:p>
        </w:tc>
      </w:tr>
    </w:tbl>
    <w:p>
      <w:r>
        <w:br w:type="page"/>
      </w:r>
    </w:p>
    <w:p>
      <w:pPr>
        <w:spacing w:before="0" w:after="160"/>
        <w:jc w:val="center"/>
      </w:pPr>
      <w:r>
        <w:drawing>
          <wp:inline xmlns:a="http://schemas.openxmlformats.org/drawingml/2006/main" xmlns:pic="http://schemas.openxmlformats.org/drawingml/2006/picture">
            <wp:extent cx="5120640" cy="1448009"/>
            <wp:docPr id="3" name="Picture 3"/>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5120640" cy="1448009"/>
                    </a:xfrm>
                    <a:prstGeom prst="rect"/>
                  </pic:spPr>
                </pic:pic>
              </a:graphicData>
            </a:graphic>
          </wp:inline>
        </w:drawing>
      </w:r>
    </w:p>
    <w:p>
      <w:pPr>
        <w:spacing w:before="80" w:after="280" w:line="300" w:lineRule="auto"/>
        <w:jc w:val="center"/>
      </w:pPr>
      <w:r>
        <w:rPr>
          <w:rFonts w:ascii="Arial" w:hAnsi="Arial"/>
          <w:b/>
          <w:i w:val="0"/>
          <w:color w:val="000000"/>
          <w:sz w:val="27"/>
        </w:rPr>
        <w:t>DECLARATION</w:t>
      </w:r>
    </w:p>
    <w:p>
      <w:pPr>
        <w:spacing w:before="80" w:after="240" w:line="324" w:lineRule="auto"/>
        <w:jc w:val="both"/>
      </w:pPr>
      <w:r>
        <w:rPr>
          <w:rFonts w:ascii="Arial" w:hAnsi="Arial"/>
          <w:b w:val="0"/>
          <w:i w:val="0"/>
          <w:color w:val="000000"/>
          <w:sz w:val="22"/>
        </w:rPr>
        <w:t>We, NAVEENKUMAR S (145611266), DHAYANETHI E (145611291), SANJAY B L (145611272), and VIKASH V (145611281), hereby declare that the Project Report entitled "PHYSICS-INFORMED SPATIO-TEMPORAL GRAPH TRANSFORMER FOR MULTI-INSTRUMENT SOLAR FLARE FORECASTING USING ADITYA-L1 TELEMETRY" done by us under the guidance of Ms. K. Bavani., M.E, is submitted in partial fulfilment of the requirements for the award of Bachelor of Technology degree in in Artificial Intelligence and Machine Learning.</w:t>
      </w:r>
    </w:p>
    <w:p>
      <w:pPr>
        <w:spacing w:before="80" w:after="640" w:line="324" w:lineRule="auto"/>
        <w:jc w:val="both"/>
      </w:pPr>
      <w:r>
        <w:rPr>
          <w:rFonts w:ascii="Arial" w:hAnsi="Arial"/>
          <w:b w:val="0"/>
          <w:i w:val="0"/>
          <w:color w:val="000000"/>
          <w:sz w:val="22"/>
        </w:rPr>
        <w:t>We further declare that this report has not been submitted previously in part or in full for the award of any diploma, degree, or fellowship in this university or any other institution of higher education.</w:t>
      </w:r>
    </w:p>
    <w:tbl>
      <w:tblPr>
        <w:tblW w:type="auto" w:w="0"/>
        <w:jc w:val="center"/>
        <w:tblLook w:firstColumn="1" w:firstRow="1" w:lastColumn="0" w:lastRow="0" w:noHBand="0" w:noVBand="1" w:val="04A0"/>
      </w:tblPr>
      <w:tblGrid>
        <w:gridCol w:w="3744"/>
        <w:gridCol w:w="5184"/>
      </w:tblGrid>
      <w:tr>
        <w:trPr>
          <w:cantSplit/>
        </w:trPr>
        <w:tc>
          <w:tcPr>
            <w:tcW w:type="dxa" w:w="4500"/>
          </w:tcPr>
          <w:p>
            <w:pPr>
              <w:spacing w:line="300" w:lineRule="auto"/>
            </w:pPr>
            <w:r>
              <w:rPr>
                <w:b/>
              </w:rPr>
              <w:t>DATE: 30-10-2026</w:t>
              <w:br/>
              <w:t>PLACE: Chennai</w:t>
            </w:r>
          </w:p>
        </w:tc>
        <w:tc>
          <w:tcPr>
            <w:tcW w:type="dxa" w:w="4500"/>
          </w:tcPr>
          <w:p>
            <w:pPr>
              <w:spacing w:line="288" w:lineRule="auto"/>
              <w:jc w:val="right"/>
            </w:pPr>
            <w:r>
              <w:rPr>
                <w:b/>
              </w:rPr>
              <w:t>Signature of the Candidate(s):</w:t>
              <w:br/>
            </w:r>
            <w:r>
              <w:rPr>
                <w:b/>
                <w:sz w:val="20"/>
              </w:rPr>
              <w:t>1. NAVEENKUMAR S (145611266)</w:t>
              <w:br/>
            </w:r>
            <w:r>
              <w:rPr>
                <w:b/>
                <w:sz w:val="20"/>
              </w:rPr>
              <w:t>2. DHAYANETHI E (145611291)</w:t>
              <w:br/>
            </w:r>
            <w:r>
              <w:rPr>
                <w:b/>
                <w:sz w:val="20"/>
              </w:rPr>
              <w:t>3. SANJAY B L (145611272)</w:t>
              <w:br/>
            </w:r>
            <w:r>
              <w:rPr>
                <w:b/>
                <w:sz w:val="20"/>
              </w:rPr>
              <w:t>4. VIKASH V (145611281)</w:t>
              <w:br/>
            </w:r>
          </w:p>
        </w:tc>
      </w:tr>
    </w:tbl>
    <w:p>
      <w:r>
        <w:br w:type="page"/>
      </w:r>
    </w:p>
    <w:p>
      <w:pPr>
        <w:spacing w:before="160" w:after="280" w:line="300" w:lineRule="auto"/>
        <w:jc w:val="center"/>
      </w:pPr>
      <w:r>
        <w:rPr>
          <w:rFonts w:ascii="Arial" w:hAnsi="Arial"/>
          <w:b/>
          <w:i w:val="0"/>
          <w:color w:val="000000"/>
          <w:sz w:val="27"/>
        </w:rPr>
        <w:t>ACKNOWLEDGEMENT</w:t>
      </w:r>
    </w:p>
    <w:p>
      <w:pPr>
        <w:spacing w:before="80" w:after="160" w:line="293" w:lineRule="auto"/>
        <w:jc w:val="both"/>
      </w:pPr>
      <w:r>
        <w:rPr>
          <w:rFonts w:ascii="Arial" w:hAnsi="Arial"/>
          <w:b w:val="0"/>
          <w:i w:val="0"/>
          <w:color w:val="000000"/>
          <w:sz w:val="22"/>
        </w:rPr>
        <w:t>We are pleased to acknowledge our sincere thanks to Board of Management of SATHYABAMA for their kind encouragement in doing this project and for completing it successfully. We are grateful to them.</w:t>
      </w:r>
    </w:p>
    <w:p>
      <w:pPr>
        <w:spacing w:before="80" w:after="160" w:line="293" w:lineRule="auto"/>
        <w:jc w:val="both"/>
      </w:pPr>
      <w:r>
        <w:rPr>
          <w:rFonts w:ascii="Arial" w:hAnsi="Arial"/>
          <w:b w:val="0"/>
          <w:i w:val="0"/>
          <w:color w:val="000000"/>
          <w:sz w:val="22"/>
        </w:rPr>
        <w:t>We convey our thanks to Dr. L. Lakshmanan M.E., Ph.D., Dean, School of Computing, Dr. Senduru Srinivasulu, M.E., Ph.D., Head of the Department of Computer Science and Engineering for providing us necessary support during the progressive reviews.</w:t>
      </w:r>
    </w:p>
    <w:p>
      <w:pPr>
        <w:spacing w:before="80" w:after="160" w:line="293" w:lineRule="auto"/>
        <w:jc w:val="both"/>
      </w:pPr>
      <w:r>
        <w:rPr>
          <w:rFonts w:ascii="Arial" w:hAnsi="Arial"/>
          <w:b w:val="0"/>
          <w:i w:val="0"/>
          <w:color w:val="000000"/>
          <w:sz w:val="22"/>
        </w:rPr>
        <w:t>We would like to express our sincere and deep sense of gratitude to our Internal Guide Ms. K. Bavani., M.E. for her valuable guidance, suggestions and constant encouragement which paved way for the successful completion of our Problem and Project - Based Learning.</w:t>
      </w:r>
    </w:p>
    <w:p>
      <w:pPr>
        <w:spacing w:before="80" w:after="160" w:line="293" w:lineRule="auto"/>
        <w:jc w:val="both"/>
      </w:pPr>
      <w:r>
        <w:rPr>
          <w:rFonts w:ascii="Arial" w:hAnsi="Arial"/>
          <w:b w:val="0"/>
          <w:i w:val="0"/>
          <w:color w:val="000000"/>
          <w:sz w:val="22"/>
        </w:rPr>
        <w:t>We wish to express our thanks to all Teaching and Non-teaching staff members of the Department of Computer Science and Engineering with Specialization in Artificial Intelligence and Machine Learning who were helpful in many ways for the completion of the project.</w:t>
      </w:r>
    </w:p>
    <w:p>
      <w:pPr>
        <w:spacing w:before="80" w:after="400" w:line="293" w:lineRule="auto"/>
        <w:jc w:val="both"/>
      </w:pPr>
      <w:r>
        <w:rPr>
          <w:rFonts w:ascii="Arial" w:hAnsi="Arial"/>
          <w:b w:val="0"/>
          <w:i w:val="0"/>
          <w:color w:val="000000"/>
          <w:sz w:val="22"/>
        </w:rPr>
        <w:t>We also thank the Indian Space Science Data Centre (ISSDC/ISRO) and the URSC payload teams for making the Aditya-L1 Level-2 science telemetry publicly accessible via the PRADAN portal. Finally, we extend our warmest appreciation to our parents, family, and peers for their unconditional support and encouragement.</w:t>
      </w:r>
    </w:p>
    <w:p>
      <w:pPr>
        <w:spacing w:before="120" w:line="283" w:lineRule="auto"/>
        <w:jc w:val="right"/>
      </w:pPr>
      <w:r>
        <w:rPr>
          <w:rFonts w:ascii="Arial" w:hAnsi="Arial"/>
          <w:b/>
          <w:sz w:val="22"/>
        </w:rPr>
        <w:t>Candidate(s):</w:t>
        <w:br/>
      </w:r>
      <w:r>
        <w:rPr>
          <w:rFonts w:ascii="Arial" w:hAnsi="Arial"/>
          <w:b/>
          <w:sz w:val="20"/>
        </w:rPr>
        <w:t>1. NAVEENKUMAR S (145611266)</w:t>
        <w:br/>
      </w:r>
      <w:r>
        <w:rPr>
          <w:rFonts w:ascii="Arial" w:hAnsi="Arial"/>
          <w:b/>
          <w:sz w:val="20"/>
        </w:rPr>
        <w:t>2. DHAYANETHI E (145611291)</w:t>
        <w:br/>
      </w:r>
      <w:r>
        <w:rPr>
          <w:rFonts w:ascii="Arial" w:hAnsi="Arial"/>
          <w:b/>
          <w:sz w:val="20"/>
        </w:rPr>
        <w:t>3. SANJAY B L (145611272)</w:t>
        <w:br/>
      </w:r>
      <w:r>
        <w:rPr>
          <w:rFonts w:ascii="Arial" w:hAnsi="Arial"/>
          <w:b/>
          <w:sz w:val="20"/>
        </w:rPr>
        <w:t>4. VIKASH V (145611281)</w:t>
        <w:br/>
      </w:r>
    </w:p>
    <w:p>
      <w:r>
        <w:br w:type="page"/>
      </w:r>
    </w:p>
    <w:p>
      <w:pPr>
        <w:spacing w:before="160" w:after="280" w:line="300" w:lineRule="auto"/>
        <w:jc w:val="center"/>
      </w:pPr>
      <w:r>
        <w:rPr>
          <w:rFonts w:ascii="Arial" w:hAnsi="Arial"/>
          <w:b/>
          <w:i w:val="0"/>
          <w:color w:val="000000"/>
          <w:sz w:val="27"/>
        </w:rPr>
        <w:t>ABSTRACT</w:t>
      </w:r>
    </w:p>
    <w:p>
      <w:pPr>
        <w:spacing w:before="80" w:after="200" w:line="300" w:lineRule="auto"/>
        <w:jc w:val="both"/>
      </w:pPr>
      <w:r>
        <w:rPr>
          <w:rFonts w:ascii="Arial" w:hAnsi="Arial"/>
          <w:b w:val="0"/>
          <w:i w:val="0"/>
          <w:color w:val="000000"/>
          <w:sz w:val="22"/>
        </w:rPr>
        <w:t>Solar flares and accompanying coronal mass ejections represent the most energetic explosive phenomena in the solar system, capable of devastating terrestrial high-frequency communications, degrading satellite electronics, and inducing severe geomagnetic currents across power transmission grids. Operational space weather forecasting using artificial intelligence and machine learning (AI &amp; ML) faces twin bottlenecks: extreme class imbalance (less than 0.3% positive event rate, exceeding 1:300 for major X-class flares) and complex non-linear cross-sensor temporal lags between hard and soft X-ray emissions. Purely statistical black-box models frequently suffer catastrophic collapse to all-quiet predictions and produce uncalibrated, overconfident false alarms that violate plasma physics.</w:t>
      </w:r>
    </w:p>
    <w:p>
      <w:pPr>
        <w:spacing w:before="80" w:after="200" w:line="300" w:lineRule="auto"/>
        <w:jc w:val="both"/>
      </w:pPr>
      <w:r>
        <w:rPr>
          <w:rFonts w:ascii="Arial" w:hAnsi="Arial"/>
          <w:b w:val="0"/>
          <w:i w:val="0"/>
          <w:color w:val="000000"/>
          <w:sz w:val="22"/>
        </w:rPr>
        <w:t>This project presents a novel Physics-Informed Spatio-Temporal Graph Transformer (PINN ST-GT) designed for multi-instrument solar flare forecasting using open in-orbit telemetry from India's maiden solar mission, Aditya-L1, operating in a halo orbit around the Sun-Earth Lagrangian Point 1 (L1). The system constructs a dynamic 5-node complete spectral graph interconnecting Solar Low Energy X-ray Spectrometer (SoLEXS, 1-15 keV) and High Energy L1 Orbiting X-ray Spectrometer (HEL1OS, 10-150 keV) passbands. Dual multi-head attention heads model spatial cross-band electromagnetic coupling alongside causal historical dependencies across sliding observation windows.</w:t>
      </w:r>
    </w:p>
    <w:p>
      <w:pPr>
        <w:spacing w:before="80" w:after="280" w:line="300" w:lineRule="auto"/>
        <w:jc w:val="both"/>
      </w:pPr>
      <w:r>
        <w:rPr>
          <w:rFonts w:ascii="Arial" w:hAnsi="Arial"/>
          <w:b w:val="0"/>
          <w:i w:val="0"/>
          <w:color w:val="000000"/>
          <w:sz w:val="22"/>
        </w:rPr>
        <w:t>To enforce physical realism, the network embeds the classical Neupert effect differential equation directly into the backpropagation loss function as a differentiable Physics-Informed Neural Network (PINN) inductive bias with positive-clamped learnable injection and coronal cooling parameters, dynamically balanced with class-balanced focal loss using GradNorm. Furthermore, Mondrian conformal prediction calibration is applied to deliver distribution-free, finite-sample valid 95% coverage prediction sets. Evaluated on major in-orbit solar flare events, the proposed PINN ST-GT achieves a True Skill Statistic (TSS) of 0.842, a Heidke Skill Score (HSS) of 0.768, and a Precision-Recall AUC of 0.835, delivering an operational lead time of 1.83 hours and reducing false alarms by 42.8% compared to standard Transformer baselines while achieving maximum economic decision utility V(C/L) = 0.724.</w:t>
      </w:r>
    </w:p>
    <w:p>
      <w:pPr>
        <w:spacing w:before="120" w:after="0" w:line="288" w:lineRule="auto"/>
      </w:pPr>
      <w:r>
        <w:rPr>
          <w:rFonts w:ascii="Arial" w:hAnsi="Arial"/>
          <w:b/>
          <w:sz w:val="21"/>
        </w:rPr>
        <w:t xml:space="preserve">Keywords: </w:t>
      </w:r>
      <w:r>
        <w:rPr>
          <w:rFonts w:ascii="Arial" w:hAnsi="Arial"/>
          <w:sz w:val="21"/>
        </w:rPr>
        <w:t>Artificial Intelligence, Deep Learning, Graph Neural Networks, Spatio-Temporal Transformer, Physics-Informed Neural Networks (PINN), Neupert Effect, Rare-Event Imbalance, Conformal Prediction, Aditya-L1.</w:t>
      </w:r>
    </w:p>
    <w:p>
      <w:r>
        <w:br w:type="page"/>
      </w:r>
    </w:p>
    <w:p>
      <w:pPr>
        <w:spacing w:before="120" w:after="200" w:line="300" w:lineRule="auto"/>
        <w:jc w:val="center"/>
      </w:pPr>
      <w:r>
        <w:rPr>
          <w:rFonts w:ascii="Arial" w:hAnsi="Arial"/>
          <w:b/>
          <w:i w:val="0"/>
          <w:color w:val="000000"/>
          <w:sz w:val="27"/>
        </w:rPr>
        <w:t>TABLE OF CONTENTS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one"/>
          <w:right w:val="none"/>
          <w:insideV w:val="none"/>
        </w:tblBorders>
      </w:tblPr>
      <w:tblGrid>
        <w:gridCol w:w="1440"/>
        <w:gridCol w:w="6336"/>
        <w:gridCol w:w="1152"/>
      </w:tblGrid>
      <w:tr>
        <w:trPr>
          <w:cantSplit/>
        </w:trPr>
        <w:tc>
          <w:tcPr>
            <w:tcW w:type="dxa" w:w="3000"/>
            <w:tcMar>
              <w:top w:w="24" w:type="dxa"/>
              <w:bottom w:w="24" w:type="dxa"/>
              <w:left w:w="40" w:type="dxa"/>
              <w:right w:w="40" w:type="dxa"/>
            </w:tcMar>
            <w:shd w:fill="EAECEE"/>
          </w:tcPr>
          <w:p>
            <w:pPr>
              <w:spacing w:before="40" w:after="40" w:line="240" w:lineRule="auto"/>
              <w:jc w:val="left"/>
            </w:pPr>
            <w:r>
              <w:rPr>
                <w:b/>
                <w:sz w:val="19"/>
              </w:rPr>
              <w:t>Sl. No.</w:t>
            </w:r>
          </w:p>
        </w:tc>
        <w:tc>
          <w:tcPr>
            <w:tcW w:type="dxa" w:w="3000"/>
            <w:tcMar>
              <w:top w:w="24" w:type="dxa"/>
              <w:bottom w:w="24" w:type="dxa"/>
              <w:left w:w="40" w:type="dxa"/>
              <w:right w:w="40" w:type="dxa"/>
            </w:tcMar>
            <w:shd w:fill="EAECEE"/>
          </w:tcPr>
          <w:p>
            <w:pPr>
              <w:spacing w:before="40" w:after="40" w:line="240" w:lineRule="auto"/>
              <w:jc w:val="left"/>
            </w:pPr>
            <w:r>
              <w:rPr>
                <w:b/>
                <w:sz w:val="19"/>
              </w:rPr>
              <w:t>TITLE</w:t>
            </w:r>
          </w:p>
        </w:tc>
        <w:tc>
          <w:tcPr>
            <w:tcW w:type="dxa" w:w="3000"/>
            <w:tcMar>
              <w:top w:w="24" w:type="dxa"/>
              <w:bottom w:w="24" w:type="dxa"/>
              <w:left w:w="40" w:type="dxa"/>
              <w:right w:w="40" w:type="dxa"/>
            </w:tcMar>
            <w:shd w:fill="EAECEE"/>
          </w:tcPr>
          <w:p>
            <w:pPr>
              <w:spacing w:before="40" w:after="40" w:line="240" w:lineRule="auto"/>
              <w:jc w:val="right"/>
            </w:pPr>
            <w:r>
              <w:rPr>
                <w:b/>
                <w:sz w:val="19"/>
              </w:rPr>
              <w:t>Page No.</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r>
          </w:p>
        </w:tc>
        <w:tc>
          <w:tcPr>
            <w:tcW w:type="dxa" w:w="3000"/>
            <w:tcMar>
              <w:top w:w="16" w:type="dxa"/>
              <w:bottom w:w="16" w:type="dxa"/>
              <w:left w:w="40" w:type="dxa"/>
              <w:right w:w="40" w:type="dxa"/>
            </w:tcMar>
          </w:tcPr>
          <w:p>
            <w:pPr>
              <w:spacing w:before="40" w:after="40" w:line="240" w:lineRule="auto"/>
              <w:jc w:val="left"/>
            </w:pPr>
            <w:r>
              <w:rPr>
                <w:sz w:val="18"/>
              </w:rPr>
              <w:t>ABSTRACT</w:t>
            </w:r>
          </w:p>
        </w:tc>
        <w:tc>
          <w:tcPr>
            <w:tcW w:type="dxa" w:w="3000"/>
            <w:tcMar>
              <w:top w:w="16" w:type="dxa"/>
              <w:bottom w:w="16" w:type="dxa"/>
              <w:left w:w="40" w:type="dxa"/>
              <w:right w:w="40" w:type="dxa"/>
            </w:tcMar>
          </w:tcPr>
          <w:p>
            <w:pPr>
              <w:spacing w:before="40" w:after="40" w:line="240" w:lineRule="auto"/>
              <w:jc w:val="right"/>
            </w:pPr>
            <w:r>
              <w:rPr>
                <w:sz w:val="18"/>
              </w:rPr>
              <w:t>v</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r>
          </w:p>
        </w:tc>
        <w:tc>
          <w:tcPr>
            <w:tcW w:type="dxa" w:w="3000"/>
            <w:tcMar>
              <w:top w:w="16" w:type="dxa"/>
              <w:bottom w:w="16" w:type="dxa"/>
              <w:left w:w="40" w:type="dxa"/>
              <w:right w:w="40" w:type="dxa"/>
            </w:tcMar>
          </w:tcPr>
          <w:p>
            <w:pPr>
              <w:spacing w:before="40" w:after="40" w:line="240" w:lineRule="auto"/>
              <w:jc w:val="left"/>
            </w:pPr>
            <w:r>
              <w:rPr>
                <w:sz w:val="18"/>
              </w:rPr>
              <w:t>LIST OF FIGURES</w:t>
            </w:r>
          </w:p>
        </w:tc>
        <w:tc>
          <w:tcPr>
            <w:tcW w:type="dxa" w:w="3000"/>
            <w:tcMar>
              <w:top w:w="16" w:type="dxa"/>
              <w:bottom w:w="16" w:type="dxa"/>
              <w:left w:w="40" w:type="dxa"/>
              <w:right w:w="40" w:type="dxa"/>
            </w:tcMar>
          </w:tcPr>
          <w:p>
            <w:pPr>
              <w:spacing w:before="40" w:after="40" w:line="240" w:lineRule="auto"/>
              <w:jc w:val="right"/>
            </w:pPr>
            <w:r>
              <w:rPr>
                <w:sz w:val="18"/>
              </w:rPr>
              <w:t>vii</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1</w:t>
            </w:r>
          </w:p>
        </w:tc>
        <w:tc>
          <w:tcPr>
            <w:tcW w:type="dxa" w:w="3000"/>
            <w:tcMar>
              <w:top w:w="16" w:type="dxa"/>
              <w:bottom w:w="16" w:type="dxa"/>
              <w:left w:w="40" w:type="dxa"/>
              <w:right w:w="40" w:type="dxa"/>
            </w:tcMar>
          </w:tcPr>
          <w:p>
            <w:pPr>
              <w:spacing w:before="40" w:after="40" w:line="240" w:lineRule="auto"/>
              <w:jc w:val="left"/>
            </w:pPr>
            <w:r>
              <w:rPr>
                <w:b/>
                <w:sz w:val="18"/>
              </w:rPr>
              <w:t>INTRODUCTION</w:t>
            </w:r>
          </w:p>
        </w:tc>
        <w:tc>
          <w:tcPr>
            <w:tcW w:type="dxa" w:w="3000"/>
            <w:tcMar>
              <w:top w:w="16" w:type="dxa"/>
              <w:bottom w:w="16" w:type="dxa"/>
              <w:left w:w="40" w:type="dxa"/>
              <w:right w:w="40" w:type="dxa"/>
            </w:tcMar>
          </w:tcPr>
          <w:p>
            <w:pPr>
              <w:spacing w:before="40" w:after="40" w:line="240" w:lineRule="auto"/>
              <w:jc w:val="right"/>
            </w:pPr>
            <w:r>
              <w:rPr>
                <w:sz w:val="18"/>
              </w:rPr>
              <w:t>8</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2</w:t>
            </w:r>
          </w:p>
        </w:tc>
        <w:tc>
          <w:tcPr>
            <w:tcW w:type="dxa" w:w="3000"/>
            <w:tcMar>
              <w:top w:w="16" w:type="dxa"/>
              <w:bottom w:w="16" w:type="dxa"/>
              <w:left w:w="40" w:type="dxa"/>
              <w:right w:w="40" w:type="dxa"/>
            </w:tcMar>
          </w:tcPr>
          <w:p>
            <w:pPr>
              <w:spacing w:before="40" w:after="40" w:line="240" w:lineRule="auto"/>
              <w:jc w:val="left"/>
            </w:pPr>
            <w:r>
              <w:rPr>
                <w:b/>
                <w:sz w:val="18"/>
              </w:rPr>
              <w:t>LITERATURE SURVEY</w:t>
            </w:r>
          </w:p>
        </w:tc>
        <w:tc>
          <w:tcPr>
            <w:tcW w:type="dxa" w:w="3000"/>
            <w:tcMar>
              <w:top w:w="16" w:type="dxa"/>
              <w:bottom w:w="16" w:type="dxa"/>
              <w:left w:w="40" w:type="dxa"/>
              <w:right w:w="40" w:type="dxa"/>
            </w:tcMar>
          </w:tcPr>
          <w:p>
            <w:pPr>
              <w:spacing w:before="40" w:after="40" w:line="240" w:lineRule="auto"/>
              <w:jc w:val="right"/>
            </w:pPr>
            <w:r>
              <w:rPr>
                <w:sz w:val="18"/>
              </w:rPr>
              <w:t>10</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3</w:t>
            </w:r>
          </w:p>
        </w:tc>
        <w:tc>
          <w:tcPr>
            <w:tcW w:type="dxa" w:w="3000"/>
            <w:tcMar>
              <w:top w:w="16" w:type="dxa"/>
              <w:bottom w:w="16" w:type="dxa"/>
              <w:left w:w="40" w:type="dxa"/>
              <w:right w:w="40" w:type="dxa"/>
            </w:tcMar>
          </w:tcPr>
          <w:p>
            <w:pPr>
              <w:spacing w:before="40" w:after="40" w:line="240" w:lineRule="auto"/>
              <w:jc w:val="left"/>
            </w:pPr>
            <w:r>
              <w:rPr>
                <w:b/>
                <w:sz w:val="18"/>
              </w:rPr>
              <w:t>REQUIREMENTS ANALYSIS</w:t>
            </w:r>
          </w:p>
        </w:tc>
        <w:tc>
          <w:tcPr>
            <w:tcW w:type="dxa" w:w="3000"/>
            <w:tcMar>
              <w:top w:w="16" w:type="dxa"/>
              <w:bottom w:w="16" w:type="dxa"/>
              <w:left w:w="40" w:type="dxa"/>
              <w:right w:w="40" w:type="dxa"/>
            </w:tcMar>
          </w:tcPr>
          <w:p>
            <w:pPr>
              <w:spacing w:before="40" w:after="40" w:line="240" w:lineRule="auto"/>
              <w:jc w:val="right"/>
            </w:pPr>
            <w:r>
              <w:rPr>
                <w:sz w:val="18"/>
              </w:rPr>
              <w:t>12</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4</w:t>
            </w:r>
          </w:p>
        </w:tc>
        <w:tc>
          <w:tcPr>
            <w:tcW w:type="dxa" w:w="3000"/>
            <w:tcMar>
              <w:top w:w="16" w:type="dxa"/>
              <w:bottom w:w="16" w:type="dxa"/>
              <w:left w:w="40" w:type="dxa"/>
              <w:right w:w="40" w:type="dxa"/>
            </w:tcMar>
          </w:tcPr>
          <w:p>
            <w:pPr>
              <w:spacing w:before="40" w:after="40" w:line="240" w:lineRule="auto"/>
              <w:jc w:val="left"/>
            </w:pPr>
            <w:r>
              <w:rPr>
                <w:b/>
                <w:sz w:val="18"/>
              </w:rPr>
              <w:t>DESIGN DESCRIPTION OF PROPOSED PRODUCT</w:t>
            </w:r>
          </w:p>
        </w:tc>
        <w:tc>
          <w:tcPr>
            <w:tcW w:type="dxa" w:w="3000"/>
            <w:tcMar>
              <w:top w:w="16" w:type="dxa"/>
              <w:bottom w:w="16" w:type="dxa"/>
              <w:left w:w="40" w:type="dxa"/>
              <w:right w:w="40" w:type="dxa"/>
            </w:tcMar>
          </w:tcPr>
          <w:p>
            <w:pPr>
              <w:spacing w:before="40" w:after="40" w:line="240" w:lineRule="auto"/>
              <w:jc w:val="right"/>
            </w:pPr>
            <w:r>
              <w:rPr>
                <w:sz w:val="18"/>
              </w:rPr>
              <w:t>14</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5</w:t>
            </w:r>
          </w:p>
        </w:tc>
        <w:tc>
          <w:tcPr>
            <w:tcW w:type="dxa" w:w="3000"/>
            <w:tcMar>
              <w:top w:w="16" w:type="dxa"/>
              <w:bottom w:w="16" w:type="dxa"/>
              <w:left w:w="40" w:type="dxa"/>
              <w:right w:w="40" w:type="dxa"/>
            </w:tcMar>
          </w:tcPr>
          <w:p>
            <w:pPr>
              <w:spacing w:before="40" w:after="40" w:line="240" w:lineRule="auto"/>
              <w:jc w:val="left"/>
            </w:pPr>
            <w:r>
              <w:rPr>
                <w:b/>
                <w:sz w:val="18"/>
              </w:rPr>
              <w:t>RESULTS AND DISCUSSIONS</w:t>
            </w:r>
          </w:p>
        </w:tc>
        <w:tc>
          <w:tcPr>
            <w:tcW w:type="dxa" w:w="3000"/>
            <w:tcMar>
              <w:top w:w="16" w:type="dxa"/>
              <w:bottom w:w="16" w:type="dxa"/>
              <w:left w:w="40" w:type="dxa"/>
              <w:right w:w="40" w:type="dxa"/>
            </w:tcMar>
          </w:tcPr>
          <w:p>
            <w:pPr>
              <w:spacing w:before="40" w:after="40" w:line="240" w:lineRule="auto"/>
              <w:jc w:val="right"/>
            </w:pPr>
            <w:r>
              <w:rPr>
                <w:sz w:val="18"/>
              </w:rPr>
              <w:t>17</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6</w:t>
            </w:r>
          </w:p>
        </w:tc>
        <w:tc>
          <w:tcPr>
            <w:tcW w:type="dxa" w:w="3000"/>
            <w:tcMar>
              <w:top w:w="16" w:type="dxa"/>
              <w:bottom w:w="16" w:type="dxa"/>
              <w:left w:w="40" w:type="dxa"/>
              <w:right w:w="40" w:type="dxa"/>
            </w:tcMar>
          </w:tcPr>
          <w:p>
            <w:pPr>
              <w:spacing w:before="40" w:after="40" w:line="240" w:lineRule="auto"/>
              <w:jc w:val="left"/>
            </w:pPr>
            <w:r>
              <w:rPr>
                <w:b/>
                <w:sz w:val="18"/>
              </w:rPr>
              <w:t>SUMMARY AND CONCLUSIONS</w:t>
            </w:r>
          </w:p>
        </w:tc>
        <w:tc>
          <w:tcPr>
            <w:tcW w:type="dxa" w:w="3000"/>
            <w:tcMar>
              <w:top w:w="16" w:type="dxa"/>
              <w:bottom w:w="16" w:type="dxa"/>
              <w:left w:w="40" w:type="dxa"/>
              <w:right w:w="40" w:type="dxa"/>
            </w:tcMar>
          </w:tcPr>
          <w:p>
            <w:pPr>
              <w:spacing w:before="40" w:after="40" w:line="240" w:lineRule="auto"/>
              <w:jc w:val="right"/>
            </w:pPr>
            <w:r>
              <w:rPr>
                <w:sz w:val="18"/>
              </w:rPr>
              <w:t>23</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r>
          </w:p>
        </w:tc>
        <w:tc>
          <w:tcPr>
            <w:tcW w:type="dxa" w:w="3000"/>
            <w:tcMar>
              <w:top w:w="16" w:type="dxa"/>
              <w:bottom w:w="16" w:type="dxa"/>
              <w:left w:w="40" w:type="dxa"/>
              <w:right w:w="40" w:type="dxa"/>
            </w:tcMar>
          </w:tcPr>
          <w:p>
            <w:pPr>
              <w:spacing w:before="40" w:after="40" w:line="240" w:lineRule="auto"/>
              <w:jc w:val="left"/>
            </w:pPr>
            <w:r>
              <w:rPr>
                <w:b/>
                <w:sz w:val="18"/>
              </w:rPr>
              <w:t>REFERENCES</w:t>
            </w:r>
          </w:p>
        </w:tc>
        <w:tc>
          <w:tcPr>
            <w:tcW w:type="dxa" w:w="3000"/>
            <w:tcMar>
              <w:top w:w="16" w:type="dxa"/>
              <w:bottom w:w="16" w:type="dxa"/>
              <w:left w:w="40" w:type="dxa"/>
              <w:right w:w="40" w:type="dxa"/>
            </w:tcMar>
          </w:tcPr>
          <w:p>
            <w:pPr>
              <w:spacing w:before="40" w:after="40" w:line="240" w:lineRule="auto"/>
              <w:jc w:val="right"/>
            </w:pPr>
            <w:r>
              <w:rPr>
                <w:sz w:val="18"/>
              </w:rPr>
              <w:t>24</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r>
          </w:p>
        </w:tc>
        <w:tc>
          <w:tcPr>
            <w:tcW w:type="dxa" w:w="3000"/>
            <w:tcMar>
              <w:top w:w="16" w:type="dxa"/>
              <w:bottom w:w="16" w:type="dxa"/>
              <w:left w:w="40" w:type="dxa"/>
              <w:right w:w="40" w:type="dxa"/>
            </w:tcMar>
          </w:tcPr>
          <w:p>
            <w:pPr>
              <w:spacing w:before="40" w:after="40" w:line="240" w:lineRule="auto"/>
              <w:jc w:val="left"/>
            </w:pPr>
            <w:r>
              <w:rPr>
                <w:b/>
                <w:sz w:val="18"/>
              </w:rPr>
              <w:t>APPENDIX</w:t>
            </w:r>
          </w:p>
        </w:tc>
        <w:tc>
          <w:tcPr>
            <w:tcW w:type="dxa" w:w="3000"/>
            <w:tcMar>
              <w:top w:w="16" w:type="dxa"/>
              <w:bottom w:w="16" w:type="dxa"/>
              <w:left w:w="40" w:type="dxa"/>
              <w:right w:w="40" w:type="dxa"/>
            </w:tcMar>
          </w:tcPr>
          <w:p>
            <w:pPr>
              <w:spacing w:before="40" w:after="40" w:line="240" w:lineRule="auto"/>
              <w:jc w:val="right"/>
            </w:pPr>
            <w:r>
              <w:rPr>
                <w:sz w:val="18"/>
              </w:rPr>
              <w:t>25</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r>
          </w:p>
        </w:tc>
        <w:tc>
          <w:tcPr>
            <w:tcW w:type="dxa" w:w="3000"/>
            <w:tcMar>
              <w:top w:w="16" w:type="dxa"/>
              <w:bottom w:w="16" w:type="dxa"/>
              <w:left w:w="40" w:type="dxa"/>
              <w:right w:w="40" w:type="dxa"/>
            </w:tcMar>
          </w:tcPr>
          <w:p>
            <w:pPr>
              <w:spacing w:before="40" w:after="40" w:line="240" w:lineRule="auto"/>
              <w:jc w:val="left"/>
            </w:pPr>
            <w:r>
              <w:rPr>
                <w:sz w:val="18"/>
              </w:rPr>
              <w:t>RESEARCH PAPER</w:t>
            </w:r>
          </w:p>
        </w:tc>
        <w:tc>
          <w:tcPr>
            <w:tcW w:type="dxa" w:w="3000"/>
            <w:tcMar>
              <w:top w:w="16" w:type="dxa"/>
              <w:bottom w:w="16" w:type="dxa"/>
              <w:left w:w="40" w:type="dxa"/>
              <w:right w:w="40" w:type="dxa"/>
            </w:tcMar>
          </w:tcPr>
          <w:p>
            <w:pPr>
              <w:spacing w:before="40" w:after="40" w:line="240" w:lineRule="auto"/>
              <w:jc w:val="right"/>
            </w:pPr>
            <w:r>
              <w:rPr>
                <w:sz w:val="18"/>
              </w:rPr>
              <w:t>25</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r>
          </w:p>
        </w:tc>
        <w:tc>
          <w:tcPr>
            <w:tcW w:type="dxa" w:w="3000"/>
            <w:tcMar>
              <w:top w:w="16" w:type="dxa"/>
              <w:bottom w:w="16" w:type="dxa"/>
              <w:left w:w="40" w:type="dxa"/>
              <w:right w:w="40" w:type="dxa"/>
            </w:tcMar>
          </w:tcPr>
          <w:p>
            <w:pPr>
              <w:spacing w:before="40" w:after="40" w:line="240" w:lineRule="auto"/>
              <w:jc w:val="left"/>
            </w:pPr>
            <w:r>
              <w:rPr>
                <w:sz w:val="18"/>
              </w:rPr>
              <w:t>PLAGIARISM REPORT</w:t>
            </w:r>
          </w:p>
        </w:tc>
        <w:tc>
          <w:tcPr>
            <w:tcW w:type="dxa" w:w="3000"/>
            <w:tcMar>
              <w:top w:w="16" w:type="dxa"/>
              <w:bottom w:w="16" w:type="dxa"/>
              <w:left w:w="40" w:type="dxa"/>
              <w:right w:w="40" w:type="dxa"/>
            </w:tcMar>
          </w:tcPr>
          <w:p>
            <w:pPr>
              <w:spacing w:before="40" w:after="40" w:line="240" w:lineRule="auto"/>
              <w:jc w:val="right"/>
            </w:pPr>
            <w:r>
              <w:rPr>
                <w:sz w:val="18"/>
              </w:rPr>
              <w:t>26</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r>
          </w:p>
        </w:tc>
        <w:tc>
          <w:tcPr>
            <w:tcW w:type="dxa" w:w="3000"/>
            <w:tcMar>
              <w:top w:w="16" w:type="dxa"/>
              <w:bottom w:w="16" w:type="dxa"/>
              <w:left w:w="40" w:type="dxa"/>
              <w:right w:w="40" w:type="dxa"/>
            </w:tcMar>
          </w:tcPr>
          <w:p>
            <w:pPr>
              <w:spacing w:before="40" w:after="40" w:line="240" w:lineRule="auto"/>
              <w:jc w:val="left"/>
            </w:pPr>
            <w:r>
              <w:rPr>
                <w:sz w:val="18"/>
              </w:rPr>
              <w:t>CODE</w:t>
            </w:r>
          </w:p>
        </w:tc>
        <w:tc>
          <w:tcPr>
            <w:tcW w:type="dxa" w:w="3000"/>
            <w:tcMar>
              <w:top w:w="16" w:type="dxa"/>
              <w:bottom w:w="16" w:type="dxa"/>
              <w:left w:w="40" w:type="dxa"/>
              <w:right w:w="40" w:type="dxa"/>
            </w:tcMar>
          </w:tcPr>
          <w:p>
            <w:pPr>
              <w:spacing w:before="40" w:after="40" w:line="240" w:lineRule="auto"/>
              <w:jc w:val="right"/>
            </w:pPr>
            <w:r>
              <w:rPr>
                <w:sz w:val="18"/>
              </w:rPr>
              <w:t>27</w:t>
            </w:r>
          </w:p>
        </w:tc>
      </w:tr>
    </w:tbl>
    <w:p>
      <w:r>
        <w:br w:type="page"/>
      </w:r>
    </w:p>
    <w:p>
      <w:pPr>
        <w:spacing w:before="120" w:after="200" w:line="300" w:lineRule="auto"/>
        <w:jc w:val="center"/>
      </w:pPr>
      <w:r>
        <w:rPr>
          <w:rFonts w:ascii="Arial" w:hAnsi="Arial"/>
          <w:b/>
          <w:i w:val="0"/>
          <w:color w:val="000000"/>
          <w:sz w:val="27"/>
        </w:rPr>
        <w:t>List of Figures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one"/>
          <w:right w:val="none"/>
          <w:insideV w:val="none"/>
        </w:tblBorders>
      </w:tblPr>
      <w:tblGrid>
        <w:gridCol w:w="1584"/>
        <w:gridCol w:w="6192"/>
        <w:gridCol w:w="1152"/>
      </w:tblGrid>
      <w:tr>
        <w:trPr>
          <w:cantSplit/>
        </w:trPr>
        <w:tc>
          <w:tcPr>
            <w:tcW w:type="dxa" w:w="3000"/>
            <w:tcMar>
              <w:top w:w="24" w:type="dxa"/>
              <w:bottom w:w="24" w:type="dxa"/>
              <w:left w:w="40" w:type="dxa"/>
              <w:right w:w="40" w:type="dxa"/>
            </w:tcMar>
            <w:shd w:fill="EAECEE"/>
          </w:tcPr>
          <w:p>
            <w:pPr>
              <w:spacing w:before="40" w:after="40" w:line="240" w:lineRule="auto"/>
              <w:jc w:val="left"/>
            </w:pPr>
            <w:r>
              <w:rPr>
                <w:b/>
                <w:sz w:val="19"/>
              </w:rPr>
              <w:t>Figure No.</w:t>
            </w:r>
          </w:p>
        </w:tc>
        <w:tc>
          <w:tcPr>
            <w:tcW w:type="dxa" w:w="3000"/>
            <w:tcMar>
              <w:top w:w="24" w:type="dxa"/>
              <w:bottom w:w="24" w:type="dxa"/>
              <w:left w:w="40" w:type="dxa"/>
              <w:right w:w="40" w:type="dxa"/>
            </w:tcMar>
            <w:shd w:fill="EAECEE"/>
          </w:tcPr>
          <w:p>
            <w:pPr>
              <w:spacing w:before="40" w:after="40" w:line="240" w:lineRule="auto"/>
              <w:jc w:val="left"/>
            </w:pPr>
            <w:r>
              <w:rPr>
                <w:b/>
                <w:sz w:val="19"/>
              </w:rPr>
              <w:t>Figure Name</w:t>
            </w:r>
          </w:p>
        </w:tc>
        <w:tc>
          <w:tcPr>
            <w:tcW w:type="dxa" w:w="3000"/>
            <w:tcMar>
              <w:top w:w="24" w:type="dxa"/>
              <w:bottom w:w="24" w:type="dxa"/>
              <w:left w:w="40" w:type="dxa"/>
              <w:right w:w="40" w:type="dxa"/>
            </w:tcMar>
            <w:shd w:fill="EAECEE"/>
          </w:tcPr>
          <w:p>
            <w:pPr>
              <w:spacing w:before="40" w:after="40" w:line="240" w:lineRule="auto"/>
              <w:jc w:val="right"/>
            </w:pPr>
            <w:r>
              <w:rPr>
                <w:b/>
                <w:sz w:val="19"/>
              </w:rPr>
              <w:t>Page No.</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1.1</w:t>
            </w:r>
          </w:p>
        </w:tc>
        <w:tc>
          <w:tcPr>
            <w:tcW w:type="dxa" w:w="3000"/>
            <w:tcMar>
              <w:top w:w="16" w:type="dxa"/>
              <w:bottom w:w="16" w:type="dxa"/>
              <w:left w:w="40" w:type="dxa"/>
              <w:right w:w="40" w:type="dxa"/>
            </w:tcMar>
          </w:tcPr>
          <w:p>
            <w:pPr>
              <w:spacing w:before="40" w:after="40" w:line="240" w:lineRule="auto"/>
              <w:jc w:val="left"/>
            </w:pPr>
            <w:r>
              <w:rPr>
                <w:sz w:val="18"/>
              </w:rPr>
              <w:t>Aditya-L1 Halo Orbit around Sun-Earth L1 and Dual Payload Architecture (SoLEXS &amp; HEL1OS)</w:t>
            </w:r>
          </w:p>
        </w:tc>
        <w:tc>
          <w:tcPr>
            <w:tcW w:type="dxa" w:w="3000"/>
            <w:tcMar>
              <w:top w:w="16" w:type="dxa"/>
              <w:bottom w:w="16" w:type="dxa"/>
              <w:left w:w="40" w:type="dxa"/>
              <w:right w:w="40" w:type="dxa"/>
            </w:tcMar>
          </w:tcPr>
          <w:p>
            <w:pPr>
              <w:spacing w:before="40" w:after="40" w:line="240" w:lineRule="auto"/>
              <w:jc w:val="right"/>
            </w:pPr>
            <w:r>
              <w:rPr>
                <w:sz w:val="18"/>
              </w:rPr>
              <w:t>9</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4.1</w:t>
            </w:r>
          </w:p>
        </w:tc>
        <w:tc>
          <w:tcPr>
            <w:tcW w:type="dxa" w:w="3000"/>
            <w:tcMar>
              <w:top w:w="16" w:type="dxa"/>
              <w:bottom w:w="16" w:type="dxa"/>
              <w:left w:w="40" w:type="dxa"/>
              <w:right w:w="40" w:type="dxa"/>
            </w:tcMar>
          </w:tcPr>
          <w:p>
            <w:pPr>
              <w:spacing w:before="40" w:after="40" w:line="240" w:lineRule="auto"/>
              <w:jc w:val="left"/>
            </w:pPr>
            <w:r>
              <w:rPr>
                <w:sz w:val="18"/>
              </w:rPr>
              <w:t>Spatio-Temporal Graph Transformer Neural Network Architecture with Neupert PINN Bias</w:t>
            </w:r>
          </w:p>
        </w:tc>
        <w:tc>
          <w:tcPr>
            <w:tcW w:type="dxa" w:w="3000"/>
            <w:tcMar>
              <w:top w:w="16" w:type="dxa"/>
              <w:bottom w:w="16" w:type="dxa"/>
              <w:left w:w="40" w:type="dxa"/>
              <w:right w:w="40" w:type="dxa"/>
            </w:tcMar>
          </w:tcPr>
          <w:p>
            <w:pPr>
              <w:spacing w:before="40" w:after="40" w:line="240" w:lineRule="auto"/>
              <w:jc w:val="right"/>
            </w:pPr>
            <w:r>
              <w:rPr>
                <w:sz w:val="18"/>
              </w:rPr>
              <w:t>14</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5.1</w:t>
            </w:r>
          </w:p>
        </w:tc>
        <w:tc>
          <w:tcPr>
            <w:tcW w:type="dxa" w:w="3000"/>
            <w:tcMar>
              <w:top w:w="16" w:type="dxa"/>
              <w:bottom w:w="16" w:type="dxa"/>
              <w:left w:w="40" w:type="dxa"/>
              <w:right w:w="40" w:type="dxa"/>
            </w:tcMar>
          </w:tcPr>
          <w:p>
            <w:pPr>
              <w:spacing w:before="40" w:after="40" w:line="240" w:lineRule="auto"/>
              <w:jc w:val="left"/>
            </w:pPr>
            <w:r>
              <w:rPr>
                <w:sz w:val="18"/>
              </w:rPr>
              <w:t>Synchronized Lightcurves for the Four Major X-Class Solar Flares Observed by Aditya-L1</w:t>
            </w:r>
          </w:p>
        </w:tc>
        <w:tc>
          <w:tcPr>
            <w:tcW w:type="dxa" w:w="3000"/>
            <w:tcMar>
              <w:top w:w="16" w:type="dxa"/>
              <w:bottom w:w="16" w:type="dxa"/>
              <w:left w:w="40" w:type="dxa"/>
              <w:right w:w="40" w:type="dxa"/>
            </w:tcMar>
          </w:tcPr>
          <w:p>
            <w:pPr>
              <w:spacing w:before="40" w:after="40" w:line="240" w:lineRule="auto"/>
              <w:jc w:val="right"/>
            </w:pPr>
            <w:r>
              <w:rPr>
                <w:sz w:val="18"/>
              </w:rPr>
              <w:t>17</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5.2</w:t>
            </w:r>
          </w:p>
        </w:tc>
        <w:tc>
          <w:tcPr>
            <w:tcW w:type="dxa" w:w="3000"/>
            <w:tcMar>
              <w:top w:w="16" w:type="dxa"/>
              <w:bottom w:w="16" w:type="dxa"/>
              <w:left w:w="40" w:type="dxa"/>
              <w:right w:w="40" w:type="dxa"/>
            </w:tcMar>
          </w:tcPr>
          <w:p>
            <w:pPr>
              <w:spacing w:before="40" w:after="40" w:line="240" w:lineRule="auto"/>
              <w:jc w:val="left"/>
            </w:pPr>
            <w:r>
              <w:rPr>
                <w:sz w:val="18"/>
              </w:rPr>
              <w:t>Empirical Neupert Scatter Plots (Soft X-Ray Flux vs. Direct and Time-Integrated Hard X-Ray Irradiance)</w:t>
            </w:r>
          </w:p>
        </w:tc>
        <w:tc>
          <w:tcPr>
            <w:tcW w:type="dxa" w:w="3000"/>
            <w:tcMar>
              <w:top w:w="16" w:type="dxa"/>
              <w:bottom w:w="16" w:type="dxa"/>
              <w:left w:w="40" w:type="dxa"/>
              <w:right w:w="40" w:type="dxa"/>
            </w:tcMar>
          </w:tcPr>
          <w:p>
            <w:pPr>
              <w:spacing w:before="40" w:after="40" w:line="240" w:lineRule="auto"/>
              <w:jc w:val="right"/>
            </w:pPr>
            <w:r>
              <w:rPr>
                <w:sz w:val="18"/>
              </w:rPr>
              <w:t>18</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5.3</w:t>
            </w:r>
          </w:p>
        </w:tc>
        <w:tc>
          <w:tcPr>
            <w:tcW w:type="dxa" w:w="3000"/>
            <w:tcMar>
              <w:top w:w="16" w:type="dxa"/>
              <w:bottom w:w="16" w:type="dxa"/>
              <w:left w:w="40" w:type="dxa"/>
              <w:right w:w="40" w:type="dxa"/>
            </w:tcMar>
          </w:tcPr>
          <w:p>
            <w:pPr>
              <w:spacing w:before="40" w:after="40" w:line="240" w:lineRule="auto"/>
              <w:jc w:val="left"/>
            </w:pPr>
            <w:r>
              <w:rPr>
                <w:sz w:val="18"/>
              </w:rPr>
              <w:t>Energy-Band Sensitivity Sweep across 40 Evaluated Passband Permutations</w:t>
            </w:r>
          </w:p>
        </w:tc>
        <w:tc>
          <w:tcPr>
            <w:tcW w:type="dxa" w:w="3000"/>
            <w:tcMar>
              <w:top w:w="16" w:type="dxa"/>
              <w:bottom w:w="16" w:type="dxa"/>
              <w:left w:w="40" w:type="dxa"/>
              <w:right w:w="40" w:type="dxa"/>
            </w:tcMar>
          </w:tcPr>
          <w:p>
            <w:pPr>
              <w:spacing w:before="40" w:after="40" w:line="240" w:lineRule="auto"/>
              <w:jc w:val="right"/>
            </w:pPr>
            <w:r>
              <w:rPr>
                <w:sz w:val="18"/>
              </w:rPr>
              <w:t>19</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5.4</w:t>
            </w:r>
          </w:p>
        </w:tc>
        <w:tc>
          <w:tcPr>
            <w:tcW w:type="dxa" w:w="3000"/>
            <w:tcMar>
              <w:top w:w="16" w:type="dxa"/>
              <w:bottom w:w="16" w:type="dxa"/>
              <w:left w:w="40" w:type="dxa"/>
              <w:right w:w="40" w:type="dxa"/>
            </w:tcMar>
          </w:tcPr>
          <w:p>
            <w:pPr>
              <w:spacing w:before="40" w:after="40" w:line="240" w:lineRule="auto"/>
              <w:jc w:val="left"/>
            </w:pPr>
            <w:r>
              <w:rPr>
                <w:sz w:val="18"/>
              </w:rPr>
              <w:t>Coronal Loop Hydrodynamic Cooling Verification (Spitzer &amp; Radiative Losses vs. Learned PINN Parameter)</w:t>
            </w:r>
          </w:p>
        </w:tc>
        <w:tc>
          <w:tcPr>
            <w:tcW w:type="dxa" w:w="3000"/>
            <w:tcMar>
              <w:top w:w="16" w:type="dxa"/>
              <w:bottom w:w="16" w:type="dxa"/>
              <w:left w:w="40" w:type="dxa"/>
              <w:right w:w="40" w:type="dxa"/>
            </w:tcMar>
          </w:tcPr>
          <w:p>
            <w:pPr>
              <w:spacing w:before="40" w:after="40" w:line="240" w:lineRule="auto"/>
              <w:jc w:val="right"/>
            </w:pPr>
            <w:r>
              <w:rPr>
                <w:sz w:val="18"/>
              </w:rPr>
              <w:t>21</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5.5</w:t>
            </w:r>
          </w:p>
        </w:tc>
        <w:tc>
          <w:tcPr>
            <w:tcW w:type="dxa" w:w="3000"/>
            <w:tcMar>
              <w:top w:w="16" w:type="dxa"/>
              <w:bottom w:w="16" w:type="dxa"/>
              <w:left w:w="40" w:type="dxa"/>
              <w:right w:w="40" w:type="dxa"/>
            </w:tcMar>
          </w:tcPr>
          <w:p>
            <w:pPr>
              <w:spacing w:before="40" w:after="40" w:line="240" w:lineRule="auto"/>
              <w:jc w:val="left"/>
            </w:pPr>
            <w:r>
              <w:rPr>
                <w:sz w:val="18"/>
              </w:rPr>
              <w:t>Conformal Prediction Calibration Curves and Operational Decision Utility Battery</w:t>
            </w:r>
          </w:p>
        </w:tc>
        <w:tc>
          <w:tcPr>
            <w:tcW w:type="dxa" w:w="3000"/>
            <w:tcMar>
              <w:top w:w="16" w:type="dxa"/>
              <w:bottom w:w="16" w:type="dxa"/>
              <w:left w:w="40" w:type="dxa"/>
              <w:right w:w="40" w:type="dxa"/>
            </w:tcMar>
          </w:tcPr>
          <w:p>
            <w:pPr>
              <w:spacing w:before="40" w:after="40" w:line="240" w:lineRule="auto"/>
              <w:jc w:val="right"/>
            </w:pPr>
            <w:r>
              <w:rPr>
                <w:sz w:val="18"/>
              </w:rPr>
              <w:t>22</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5.6</w:t>
            </w:r>
          </w:p>
        </w:tc>
        <w:tc>
          <w:tcPr>
            <w:tcW w:type="dxa" w:w="3000"/>
            <w:tcMar>
              <w:top w:w="16" w:type="dxa"/>
              <w:bottom w:w="16" w:type="dxa"/>
              <w:left w:w="40" w:type="dxa"/>
              <w:right w:w="40" w:type="dxa"/>
            </w:tcMar>
          </w:tcPr>
          <w:p>
            <w:pPr>
              <w:spacing w:before="40" w:after="40" w:line="240" w:lineRule="auto"/>
              <w:jc w:val="left"/>
            </w:pPr>
            <w:r>
              <w:rPr>
                <w:sz w:val="18"/>
              </w:rPr>
              <w:t>Operational Space Weather Analytics: Causal Attention Temporal Attribution &amp; Richardson Curves</w:t>
            </w:r>
          </w:p>
        </w:tc>
        <w:tc>
          <w:tcPr>
            <w:tcW w:type="dxa" w:w="3000"/>
            <w:tcMar>
              <w:top w:w="16" w:type="dxa"/>
              <w:bottom w:w="16" w:type="dxa"/>
              <w:left w:w="40" w:type="dxa"/>
              <w:right w:w="40" w:type="dxa"/>
            </w:tcMar>
          </w:tcPr>
          <w:p>
            <w:pPr>
              <w:spacing w:before="40" w:after="40" w:line="240" w:lineRule="auto"/>
              <w:jc w:val="right"/>
            </w:pPr>
            <w:r>
              <w:rPr>
                <w:sz w:val="18"/>
              </w:rPr>
              <w:t>22</w:t>
            </w:r>
          </w:p>
        </w:tc>
      </w:tr>
      <w:tr>
        <w:trPr>
          <w:cantSplit/>
        </w:trPr>
        <w:tc>
          <w:tcPr>
            <w:tcW w:type="dxa" w:w="3000"/>
            <w:tcMar>
              <w:top w:w="16" w:type="dxa"/>
              <w:bottom w:w="16" w:type="dxa"/>
              <w:left w:w="40" w:type="dxa"/>
              <w:right w:w="40" w:type="dxa"/>
            </w:tcMar>
          </w:tcPr>
          <w:p>
            <w:pPr>
              <w:spacing w:before="40" w:after="40" w:line="240" w:lineRule="auto"/>
              <w:jc w:val="left"/>
            </w:pPr>
            <w:r>
              <w:rPr>
                <w:b/>
                <w:sz w:val="18"/>
              </w:rPr>
              <w:t>A.1</w:t>
            </w:r>
          </w:p>
        </w:tc>
        <w:tc>
          <w:tcPr>
            <w:tcW w:type="dxa" w:w="3000"/>
            <w:tcMar>
              <w:top w:w="16" w:type="dxa"/>
              <w:bottom w:w="16" w:type="dxa"/>
              <w:left w:w="40" w:type="dxa"/>
              <w:right w:w="40" w:type="dxa"/>
            </w:tcMar>
          </w:tcPr>
          <w:p>
            <w:pPr>
              <w:spacing w:before="40" w:after="40" w:line="240" w:lineRule="auto"/>
              <w:jc w:val="left"/>
            </w:pPr>
            <w:r>
              <w:rPr>
                <w:sz w:val="18"/>
              </w:rPr>
              <w:t>P2BL Presentation Model Chart: Physics-Informed Graph Transformer for Solar Flare Early Warning</w:t>
            </w:r>
          </w:p>
        </w:tc>
        <w:tc>
          <w:tcPr>
            <w:tcW w:type="dxa" w:w="3000"/>
            <w:tcMar>
              <w:top w:w="16" w:type="dxa"/>
              <w:bottom w:w="16" w:type="dxa"/>
              <w:left w:w="40" w:type="dxa"/>
              <w:right w:w="40" w:type="dxa"/>
            </w:tcMar>
          </w:tcPr>
          <w:p>
            <w:pPr>
              <w:spacing w:before="40" w:after="40" w:line="240" w:lineRule="auto"/>
              <w:jc w:val="right"/>
            </w:pPr>
            <w:r>
              <w:rPr>
                <w:sz w:val="18"/>
              </w:rPr>
              <w:t>25</w:t>
            </w:r>
          </w:p>
        </w:tc>
      </w:tr>
    </w:tbl>
    <w:p>
      <w:r>
        <w:br w:type="page"/>
      </w:r>
    </w:p>
    <w:p>
      <w:pPr>
        <w:keepNext/>
        <w:spacing w:before="320" w:after="120"/>
        <w:jc w:val="left"/>
      </w:pPr>
      <w:r>
        <w:rPr>
          <w:rFonts w:ascii="Arial" w:hAnsi="Arial"/>
          <w:b/>
          <w:color w:val="000000"/>
          <w:sz w:val="28"/>
        </w:rPr>
        <w:t>1. INTRODUCTION</w:t>
      </w:r>
    </w:p>
    <w:p>
      <w:pPr>
        <w:keepNext/>
        <w:spacing w:before="240" w:after="80"/>
        <w:jc w:val="left"/>
      </w:pPr>
      <w:r>
        <w:rPr>
          <w:rFonts w:ascii="Arial" w:hAnsi="Arial"/>
          <w:b/>
          <w:color w:val="000000"/>
          <w:sz w:val="24"/>
        </w:rPr>
        <w:t>1.1 Astrophysical Background and Solar Flares</w:t>
      </w:r>
    </w:p>
    <w:p>
      <w:pPr>
        <w:spacing w:before="0" w:after="120" w:line="300" w:lineRule="auto"/>
        <w:jc w:val="both"/>
      </w:pPr>
      <w:r>
        <w:rPr>
          <w:rFonts w:ascii="Arial" w:hAnsi="Arial"/>
          <w:b w:val="0"/>
          <w:i w:val="0"/>
          <w:color w:val="000000"/>
          <w:sz w:val="22"/>
        </w:rPr>
        <w:t>Solar flares are sudden, localized explosions of radiation in the solar atmosphere caused by magnetic reconnection in highly twisted, non-potential magnetic flux ropes rooted in active regions. Over timescales ranging from tens of seconds to several hours, flares convert stored free magnetic energy into plasma heating, bulk kinetic acceleration, and relativistic particle acceleration. Flaring radiation spans the entire electromagnetic spectrum, ranging from radio bursts and optical continuum to extreme ultraviolet (EUV), soft X-rays (SXR, 1-25 keV), and hard X-rays (HXR, 10-200 keV). In major eruptive flares, reconnection is accompanied by the ejection of billion-ton magnetized coronal plasma clouds termed Coronal Mass Ejections (CMEs) propagating at velocities exceeding 2,000 km/s.</w:t>
      </w:r>
    </w:p>
    <w:p>
      <w:pPr>
        <w:keepNext/>
        <w:spacing w:before="240" w:after="80"/>
        <w:jc w:val="left"/>
      </w:pPr>
      <w:r>
        <w:rPr>
          <w:rFonts w:ascii="Arial" w:hAnsi="Arial"/>
          <w:b/>
          <w:color w:val="000000"/>
          <w:sz w:val="24"/>
        </w:rPr>
        <w:t>1.2 Space Weather Hazards to Critical Infrastructure</w:t>
      </w:r>
    </w:p>
    <w:p>
      <w:pPr>
        <w:spacing w:before="0" w:after="120" w:line="300" w:lineRule="auto"/>
        <w:jc w:val="both"/>
      </w:pPr>
      <w:r>
        <w:rPr>
          <w:rFonts w:ascii="Arial" w:hAnsi="Arial"/>
          <w:b w:val="0"/>
          <w:i w:val="0"/>
          <w:color w:val="000000"/>
          <w:sz w:val="22"/>
        </w:rPr>
        <w:t>Space weather represents an existential threat to modern technological civilization. Solar flares emit intense ionizing radiation that drastically alters the ionization structure of the Earth's ionospheric D-layer, causing immediate Short-Wave Fadeouts (SWF) and disabling high-frequency (HF, 3-30 MHz) trans-polar aviation and maritime communications. Furthermore, solar energetic particles (SEPs) accelerated during major flares penetrate satellite shielding, causing Single Event Upsets (SEU), memory bit flips, solar cell degradation, and permanent payload failure. For megawatt ground electrical grids, geomagnetically induced currents (GIC) driven by coronal mass ejections can saturate high-voltage transformer cores, inducing catastrophic regional blackouts as observed during the March 1989 Hydro-Quebec event.</w:t>
      </w:r>
    </w:p>
    <w:p>
      <w:pPr>
        <w:keepNext/>
        <w:spacing w:before="240" w:after="80"/>
        <w:jc w:val="left"/>
      </w:pPr>
      <w:r>
        <w:rPr>
          <w:rFonts w:ascii="Arial" w:hAnsi="Arial"/>
          <w:b/>
          <w:color w:val="000000"/>
          <w:sz w:val="24"/>
        </w:rPr>
        <w:t>1.3 The Aditya-L1 Space Observatory and Payloads</w:t>
      </w:r>
    </w:p>
    <w:p>
      <w:pPr>
        <w:spacing w:before="0" w:after="120" w:line="300" w:lineRule="auto"/>
        <w:jc w:val="both"/>
      </w:pPr>
      <w:r>
        <w:rPr>
          <w:rFonts w:ascii="Arial" w:hAnsi="Arial"/>
          <w:b w:val="0"/>
          <w:i w:val="0"/>
          <w:color w:val="000000"/>
          <w:sz w:val="22"/>
        </w:rPr>
        <w:t>Launched by the Indian Space Research Organisation (ISRO) on September 2, 2023, Aditya-L1 is India's first dedicated space-based solar observatory. Positioned in a halo orbit around the Sun-Earth Lagrangian Point 1 (L1), roughly 1.5 million kilometers upstream from Earth, Aditya-L1 enjoys an uninterrupted, 24/7 view of the Sun free from planetary occultation or atmospheric absorption. Two scientific payloads aboard Aditya-L1 provide unprecedented multi-spectral X-ray observations:</w:t>
      </w:r>
    </w:p>
    <w:p>
      <w:pPr>
        <w:spacing w:before="0" w:after="80" w:line="276" w:lineRule="auto"/>
        <w:ind w:left="360"/>
      </w:pPr>
      <w:r>
        <w:rPr>
          <w:rFonts w:ascii="Arial" w:hAnsi="Arial"/>
          <w:b/>
          <w:sz w:val="22"/>
        </w:rPr>
        <w:t xml:space="preserve">* </w:t>
      </w:r>
      <w:r>
        <w:rPr>
          <w:rFonts w:ascii="Arial" w:hAnsi="Arial"/>
          <w:b/>
          <w:sz w:val="22"/>
        </w:rPr>
        <w:t>Solar Low Energy X-ray Spectrometer (SoLEXS)</w:t>
      </w:r>
      <w:r>
        <w:rPr>
          <w:rFonts w:ascii="Arial" w:hAnsi="Arial"/>
          <w:sz w:val="22"/>
        </w:rPr>
        <w:t>: Equipped with silicon drift detectors (SDD) operating from 1 keV to 15 keV with 1-second cadence, measuring thermal soft X-ray emission from multi-million Kelvin heated coronal plasma loops.</w:t>
      </w:r>
    </w:p>
    <w:p>
      <w:pPr>
        <w:spacing w:before="0" w:after="80" w:line="276" w:lineRule="auto"/>
        <w:ind w:left="360"/>
      </w:pPr>
      <w:r>
        <w:rPr>
          <w:rFonts w:ascii="Arial" w:hAnsi="Arial"/>
          <w:b/>
          <w:sz w:val="22"/>
        </w:rPr>
        <w:t xml:space="preserve">* </w:t>
      </w:r>
      <w:r>
        <w:rPr>
          <w:rFonts w:ascii="Arial" w:hAnsi="Arial"/>
          <w:b/>
          <w:sz w:val="22"/>
        </w:rPr>
        <w:t>High Energy L1 Orbiting X-ray Spectrometer (HEL1OS)</w:t>
      </w:r>
      <w:r>
        <w:rPr>
          <w:rFonts w:ascii="Arial" w:hAnsi="Arial"/>
          <w:sz w:val="22"/>
        </w:rPr>
        <w:t>: Equipped with CdTe and CZT solid-state semiconductor detectors operating across 10 keV to 150 keV with 1-second cadence, capturing bremsstrahlung radiation produced by non-thermal relativistic electron beams slamming into the dense chromosphere.</w:t>
      </w:r>
    </w:p>
    <w:p>
      <w:pPr>
        <w:keepNext/>
        <w:spacing w:before="160" w:after="80"/>
        <w:jc w:val="center"/>
      </w:pPr>
      <w:r>
        <w:drawing>
          <wp:inline xmlns:a="http://schemas.openxmlformats.org/drawingml/2006/main" xmlns:pic="http://schemas.openxmlformats.org/drawingml/2006/picture">
            <wp:extent cx="4754880" cy="1902873"/>
            <wp:docPr id="4" name="Picture 4"/>
            <wp:cNvGraphicFramePr>
              <a:graphicFrameLocks noChangeAspect="1"/>
            </wp:cNvGraphicFramePr>
            <a:graphic>
              <a:graphicData uri="http://schemas.openxmlformats.org/drawingml/2006/picture">
                <pic:pic>
                  <pic:nvPicPr>
                    <pic:cNvPr id="0" name="figure1_orbit_and_sensors.png"/>
                    <pic:cNvPicPr/>
                  </pic:nvPicPr>
                  <pic:blipFill>
                    <a:blip r:embed="rId11"/>
                    <a:stretch>
                      <a:fillRect/>
                    </a:stretch>
                  </pic:blipFill>
                  <pic:spPr>
                    <a:xfrm>
                      <a:off x="0" y="0"/>
                      <a:ext cx="4754880" cy="1902873"/>
                    </a:xfrm>
                    <a:prstGeom prst="rect"/>
                  </pic:spPr>
                </pic:pic>
              </a:graphicData>
            </a:graphic>
          </wp:inline>
        </w:drawing>
      </w:r>
    </w:p>
    <w:p>
      <w:pPr>
        <w:spacing w:before="40" w:after="160" w:line="276" w:lineRule="auto"/>
        <w:jc w:val="center"/>
      </w:pPr>
      <w:r>
        <w:rPr>
          <w:rFonts w:ascii="Arial" w:hAnsi="Arial"/>
          <w:i/>
          <w:sz w:val="19"/>
        </w:rPr>
        <w:t>Figure 1.1: Aditya-L1 Halo Orbit around Sun-Earth L1 and Dual Payload Architecture (SoLEXS &amp; HEL1OS).</w:t>
      </w:r>
    </w:p>
    <w:p>
      <w:pPr>
        <w:keepNext/>
        <w:spacing w:before="240" w:after="80"/>
        <w:jc w:val="left"/>
      </w:pPr>
      <w:r>
        <w:rPr>
          <w:rFonts w:ascii="Arial" w:hAnsi="Arial"/>
          <w:b/>
          <w:color w:val="000000"/>
          <w:sz w:val="24"/>
        </w:rPr>
        <w:t>1.4 Problem Statement: Rare-Event Forecasting Dilemma in AI/ML</w:t>
      </w:r>
    </w:p>
    <w:p>
      <w:pPr>
        <w:spacing w:before="0" w:after="120" w:line="300" w:lineRule="auto"/>
        <w:jc w:val="both"/>
      </w:pPr>
      <w:r>
        <w:rPr>
          <w:rFonts w:ascii="Arial" w:hAnsi="Arial"/>
          <w:b w:val="0"/>
          <w:i w:val="0"/>
          <w:color w:val="000000"/>
          <w:sz w:val="22"/>
        </w:rPr>
        <w:t>Operational solar flare forecasting using machine learning is plagued by two severe mathematical dilemmas. First, major X-class flares are exceedingly rare events, accounting for less than 0.3% of operational hours even during solar maximum (an extreme class imbalance ratio exceeding 1:300). Under standard empirical risk minimization, deep learning algorithms suffer catastrophic collapse to 'all-quiet' majority class predictions, achieving 99.7% naive accuracy while failing completely to anticipate catastrophic flares. Second, purely data-driven black-box neural networks ignore fundamental plasma thermodynamics, resulting in unphysical predictions and overconfident false alarms that cause millions of dollars in unnecessary satellite orbital maneuvering costs.</w:t>
      </w:r>
    </w:p>
    <w:p>
      <w:pPr>
        <w:keepNext/>
        <w:spacing w:before="240" w:after="80"/>
        <w:jc w:val="left"/>
      </w:pPr>
      <w:r>
        <w:rPr>
          <w:rFonts w:ascii="Arial" w:hAnsi="Arial"/>
          <w:b/>
          <w:color w:val="000000"/>
          <w:sz w:val="24"/>
        </w:rPr>
        <w:t>1.5 Objectives and Machine Learning Project Scope</w:t>
      </w:r>
    </w:p>
    <w:p>
      <w:pPr>
        <w:spacing w:before="0" w:after="120" w:line="300" w:lineRule="auto"/>
        <w:jc w:val="both"/>
      </w:pPr>
      <w:r>
        <w:rPr>
          <w:rFonts w:ascii="Arial" w:hAnsi="Arial"/>
          <w:b w:val="0"/>
          <w:i w:val="0"/>
          <w:color w:val="000000"/>
          <w:sz w:val="22"/>
        </w:rPr>
        <w:t>This project develops an end-to-end, physics-grounded deep learning system to resolve the rare-event solar flare prediction problem using real in-orbit telemetry from Aditya-L1. The specific machine learning objectives are:</w:t>
      </w:r>
    </w:p>
    <w:p>
      <w:pPr>
        <w:spacing w:before="0" w:after="80" w:line="276" w:lineRule="auto"/>
        <w:ind w:left="360"/>
      </w:pPr>
      <w:r>
        <w:rPr>
          <w:rFonts w:ascii="Arial" w:hAnsi="Arial"/>
          <w:b/>
          <w:sz w:val="22"/>
        </w:rPr>
        <w:t xml:space="preserve">* </w:t>
      </w:r>
      <w:r>
        <w:rPr>
          <w:rFonts w:ascii="Arial" w:hAnsi="Arial"/>
          <w:b/>
          <w:sz w:val="22"/>
        </w:rPr>
        <w:t>Multi-Spectral Graph Formulation</w:t>
      </w:r>
      <w:r>
        <w:rPr>
          <w:rFonts w:ascii="Arial" w:hAnsi="Arial"/>
          <w:sz w:val="22"/>
        </w:rPr>
        <w:t>: Construct a 5-node complete spectral graph interconnecting SoLEXS and HEL1OS passbands.</w:t>
      </w:r>
    </w:p>
    <w:p>
      <w:pPr>
        <w:spacing w:before="0" w:after="80" w:line="276" w:lineRule="auto"/>
        <w:ind w:left="360"/>
      </w:pPr>
      <w:r>
        <w:rPr>
          <w:rFonts w:ascii="Arial" w:hAnsi="Arial"/>
          <w:b/>
          <w:sz w:val="22"/>
        </w:rPr>
        <w:t xml:space="preserve">* </w:t>
      </w:r>
      <w:r>
        <w:rPr>
          <w:rFonts w:ascii="Arial" w:hAnsi="Arial"/>
          <w:b/>
          <w:sz w:val="22"/>
        </w:rPr>
        <w:t>Spatio-Temporal Graph Transformer</w:t>
      </w:r>
      <w:r>
        <w:rPr>
          <w:rFonts w:ascii="Arial" w:hAnsi="Arial"/>
          <w:sz w:val="22"/>
        </w:rPr>
        <w:t>: Develop dual-axis self-attention to model spatial cross-band physical coupling and causal pre-flare precursors.</w:t>
      </w:r>
    </w:p>
    <w:p>
      <w:pPr>
        <w:spacing w:before="0" w:after="80" w:line="276" w:lineRule="auto"/>
        <w:ind w:left="360"/>
      </w:pPr>
      <w:r>
        <w:rPr>
          <w:rFonts w:ascii="Arial" w:hAnsi="Arial"/>
          <w:b/>
          <w:sz w:val="22"/>
        </w:rPr>
        <w:t xml:space="preserve">* </w:t>
      </w:r>
      <w:r>
        <w:rPr>
          <w:rFonts w:ascii="Arial" w:hAnsi="Arial"/>
          <w:b/>
          <w:sz w:val="22"/>
        </w:rPr>
        <w:t>Physics-Informed (PINN) Loss</w:t>
      </w:r>
      <w:r>
        <w:rPr>
          <w:rFonts w:ascii="Arial" w:hAnsi="Arial"/>
          <w:sz w:val="22"/>
        </w:rPr>
        <w:t>: Embed the Neupert differential equation into backpropagation with GradNorm multi-task gradient balancing.</w:t>
      </w:r>
    </w:p>
    <w:p>
      <w:pPr>
        <w:spacing w:before="0" w:after="80" w:line="276" w:lineRule="auto"/>
        <w:ind w:left="360"/>
      </w:pPr>
      <w:r>
        <w:rPr>
          <w:rFonts w:ascii="Arial" w:hAnsi="Arial"/>
          <w:b/>
          <w:sz w:val="22"/>
        </w:rPr>
        <w:t xml:space="preserve">* </w:t>
      </w:r>
      <w:r>
        <w:rPr>
          <w:rFonts w:ascii="Arial" w:hAnsi="Arial"/>
          <w:b/>
          <w:sz w:val="22"/>
        </w:rPr>
        <w:t>Conformal Uncertainty Calibration</w:t>
      </w:r>
      <w:r>
        <w:rPr>
          <w:rFonts w:ascii="Arial" w:hAnsi="Arial"/>
          <w:sz w:val="22"/>
        </w:rPr>
        <w:t>: Implement Mondrian conformal prediction to provide finite-sample guaranteed 95% coverage prediction sets.</w:t>
      </w:r>
    </w:p>
    <w:p>
      <w:pPr>
        <w:spacing w:before="0" w:after="80" w:line="276" w:lineRule="auto"/>
        <w:ind w:left="360"/>
      </w:pPr>
      <w:r>
        <w:rPr>
          <w:rFonts w:ascii="Arial" w:hAnsi="Arial"/>
          <w:b/>
          <w:sz w:val="22"/>
        </w:rPr>
        <w:t xml:space="preserve">* </w:t>
      </w:r>
      <w:r>
        <w:rPr>
          <w:rFonts w:ascii="Arial" w:hAnsi="Arial"/>
          <w:b/>
          <w:sz w:val="22"/>
        </w:rPr>
        <w:t>Operational Cockpit</w:t>
      </w:r>
      <w:r>
        <w:rPr>
          <w:rFonts w:ascii="Arial" w:hAnsi="Arial"/>
          <w:sz w:val="22"/>
        </w:rPr>
        <w:t>: Deploy the calibrated AI pipeline via FastAPI streaming real-time alerts to satellite fleet operators.</w:t>
      </w:r>
    </w:p>
    <w:p>
      <w:r>
        <w:br w:type="page"/>
      </w:r>
    </w:p>
    <w:p>
      <w:pPr>
        <w:keepNext/>
        <w:spacing w:before="320" w:after="120"/>
        <w:jc w:val="left"/>
      </w:pPr>
      <w:r>
        <w:rPr>
          <w:rFonts w:ascii="Arial" w:hAnsi="Arial"/>
          <w:b/>
          <w:color w:val="000000"/>
          <w:sz w:val="28"/>
        </w:rPr>
        <w:t>2. LITERATURE SURVEY</w:t>
      </w:r>
    </w:p>
    <w:p>
      <w:pPr>
        <w:keepNext/>
        <w:spacing w:before="240" w:after="80"/>
        <w:jc w:val="left"/>
      </w:pPr>
      <w:r>
        <w:rPr>
          <w:rFonts w:ascii="Arial" w:hAnsi="Arial"/>
          <w:b/>
          <w:color w:val="000000"/>
          <w:sz w:val="24"/>
        </w:rPr>
        <w:t>2.1 The Neupert Effect &amp; Chromospheric Evaporation</w:t>
      </w:r>
    </w:p>
    <w:p>
      <w:pPr>
        <w:spacing w:before="0" w:after="120" w:line="300" w:lineRule="auto"/>
        <w:jc w:val="both"/>
      </w:pPr>
      <w:r>
        <w:rPr>
          <w:rFonts w:ascii="Arial" w:hAnsi="Arial"/>
          <w:b w:val="0"/>
          <w:i w:val="0"/>
          <w:color w:val="000000"/>
          <w:sz w:val="22"/>
        </w:rPr>
        <w:t>The physical foundation of solar flare impulsive phase energetics was formulated by Werner Neupert (1968). Under the standard thick-target flare model, magnetic reconnection in the corona accelerates electrons to tens of keV. These non-thermal beams stream downward along closed magnetic loop legs and impact the dense chromosphere, producing hard X-ray (HXR) bremsstrahlung emission. The deposited kinetic energy explosively heats the local plasma to over 20 million Kelvin, driving chromospheric evaporation where superheated plasma expands upward to fill the coronal loop, emitting thermal soft X-rays (SXR). Mathematically, the rate of increase of thermal soft X-ray flux is proportional to the instantaneous hard X-ray flux minus hydrodynamic radiative and conductive losses:</w:t>
      </w:r>
    </w:p>
    <w:p>
      <w:pPr>
        <w:spacing w:before="80" w:after="120" w:line="300" w:lineRule="auto"/>
        <w:jc w:val="center"/>
      </w:pPr>
      <w:r>
        <w:rPr>
          <w:rFonts w:ascii="Arial" w:hAnsi="Arial"/>
          <w:b/>
          <w:i w:val="0"/>
          <w:color w:val="000000"/>
          <w:sz w:val="21"/>
        </w:rPr>
        <w:t>d(F_SXR)/dt = alpha * F_HXR(t) - beta * F_SXR(t)</w:t>
      </w:r>
    </w:p>
    <w:p>
      <w:pPr>
        <w:spacing w:before="0" w:after="120" w:line="300" w:lineRule="auto"/>
        <w:jc w:val="both"/>
      </w:pPr>
      <w:r>
        <w:rPr>
          <w:rFonts w:ascii="Arial" w:hAnsi="Arial"/>
          <w:b w:val="0"/>
          <w:i w:val="0"/>
          <w:color w:val="000000"/>
          <w:sz w:val="22"/>
        </w:rPr>
        <w:t>where alpha represents the non-thermal beam deposition efficiency and beta represents the characteristic hydrodynamic coronal loop cooling timescale (Neupert, 1968; Veronig et al., 2005).</w:t>
      </w:r>
    </w:p>
    <w:p>
      <w:pPr>
        <w:keepNext/>
        <w:spacing w:before="240" w:after="80"/>
        <w:jc w:val="left"/>
      </w:pPr>
      <w:r>
        <w:rPr>
          <w:rFonts w:ascii="Arial" w:hAnsi="Arial"/>
          <w:b/>
          <w:color w:val="000000"/>
          <w:sz w:val="24"/>
        </w:rPr>
        <w:t>2.2 Machine Learning in Space Weather &amp; Limitations</w:t>
      </w:r>
    </w:p>
    <w:p>
      <w:pPr>
        <w:spacing w:before="0" w:after="120" w:line="300" w:lineRule="auto"/>
        <w:jc w:val="both"/>
      </w:pPr>
      <w:r>
        <w:rPr>
          <w:rFonts w:ascii="Arial" w:hAnsi="Arial"/>
          <w:b w:val="0"/>
          <w:i w:val="0"/>
          <w:color w:val="000000"/>
          <w:sz w:val="22"/>
        </w:rPr>
        <w:t>Over the past decade, numerous machine learning models have been applied to flare prediction. Early works utilized Support Vector Machines (SVM) and Random Forests applied to photospheric magnetic field parameters extracted from SDO/HMI Space-weather HMI Active Region Patches (SHARP) (Bobra &amp; Couvidat, 2015). Deep learning approaches later adopted Convolutional Neural Networks (CNNs) and Long Short-Term Memory (LSTM) networks to model line-of-sight magnetograms and full-disk solar imagery (Nishizuka et al., 2018). More recently, foundation models such as Surya (Roy et al., 2025) have emerged. However, virtually all existing operational models suffer from significant drawbacks: they treat flares as purely statistical time series, ignore physical thermodynamic constraints, and produce uncalibrated probability scores that trigger crippling rates of false alarms.</w:t>
      </w:r>
    </w:p>
    <w:p>
      <w:pPr>
        <w:keepNext/>
        <w:spacing w:before="240" w:after="80"/>
        <w:jc w:val="left"/>
      </w:pPr>
      <w:r>
        <w:rPr>
          <w:rFonts w:ascii="Arial" w:hAnsi="Arial"/>
          <w:b/>
          <w:color w:val="000000"/>
          <w:sz w:val="24"/>
        </w:rPr>
        <w:t>2.3 Physics-Informed Neural Networks (PINNs) in Science</w:t>
      </w:r>
    </w:p>
    <w:p>
      <w:pPr>
        <w:spacing w:before="0" w:after="120" w:line="300" w:lineRule="auto"/>
        <w:jc w:val="both"/>
      </w:pPr>
      <w:r>
        <w:rPr>
          <w:rFonts w:ascii="Arial" w:hAnsi="Arial"/>
          <w:b w:val="0"/>
          <w:i w:val="0"/>
          <w:color w:val="000000"/>
          <w:sz w:val="22"/>
        </w:rPr>
        <w:t>Physics-Informed Neural Networks (PINNs), pioneered by Raissi et al. (2019), embed known partial or ordinary differential equations directly into deep neural network loss functions via automatic differentiation. By penalizing violations of underlying physical laws, PINNs act as powerful regularizers that constrain the neural network's hypothesis space to physically admissible solutions, dramatically improving sample efficiency and out-of-distribution generalization. While PINNs have achieved widespread success in fluid dynamics, structural mechanics, and quantum chemistry, their application to solar flare early warning and in-orbit satellite operations remains virtually unexplored prior to this research.</w:t>
      </w:r>
    </w:p>
    <w:p>
      <w:pPr>
        <w:keepNext/>
        <w:spacing w:before="240" w:after="80"/>
        <w:jc w:val="left"/>
      </w:pPr>
      <w:r>
        <w:rPr>
          <w:rFonts w:ascii="Arial" w:hAnsi="Arial"/>
          <w:b/>
          <w:color w:val="000000"/>
          <w:sz w:val="24"/>
        </w:rPr>
        <w:t>2.4 Conformal Prediction &amp; Economic Cost-Loss Theory</w:t>
      </w:r>
    </w:p>
    <w:p>
      <w:pPr>
        <w:spacing w:before="0" w:after="120" w:line="300" w:lineRule="auto"/>
        <w:jc w:val="both"/>
      </w:pPr>
      <w:r>
        <w:rPr>
          <w:rFonts w:ascii="Arial" w:hAnsi="Arial"/>
          <w:b w:val="0"/>
          <w:i w:val="0"/>
          <w:color w:val="000000"/>
          <w:sz w:val="22"/>
        </w:rPr>
        <w:t>In critical infrastructure defense, point probabilities from deep learning models are insufficient for automated decision-making. Conformal prediction (Vovk et al., 2005) provides distribution-free, finite-sample statistical guarantees by mapping softmax scores into prediction sets containing the true class with user-specified confidence 1 - epsilon. In space weather operations, economic utility is formally quantified using the Richardson (2000) cost-loss framework, where decision makers weigh the fixed protective cost C against the catastrophic unmitigated loss L incurred if an energetic solar flare impacts an unprepared satellite fleet.</w:t>
      </w:r>
    </w:p>
    <w:p>
      <w:pPr>
        <w:keepNext/>
        <w:spacing w:before="240" w:after="80"/>
        <w:jc w:val="left"/>
      </w:pPr>
      <w:r>
        <w:rPr>
          <w:rFonts w:ascii="Arial" w:hAnsi="Arial"/>
          <w:b/>
          <w:color w:val="000000"/>
          <w:sz w:val="24"/>
        </w:rPr>
        <w:t>2.5 Summary of Gaps in Existing Literature</w:t>
      </w:r>
    </w:p>
    <w:p>
      <w:pPr>
        <w:spacing w:before="0" w:after="80" w:line="276" w:lineRule="auto"/>
        <w:ind w:left="360"/>
      </w:pPr>
      <w:r>
        <w:rPr>
          <w:rFonts w:ascii="Arial" w:hAnsi="Arial"/>
          <w:b/>
          <w:sz w:val="22"/>
        </w:rPr>
        <w:t xml:space="preserve">* </w:t>
      </w:r>
      <w:r>
        <w:rPr>
          <w:rFonts w:ascii="Arial" w:hAnsi="Arial"/>
          <w:b/>
          <w:sz w:val="22"/>
        </w:rPr>
        <w:t>Absence of Physical Inductive Biases</w:t>
      </w:r>
      <w:r>
        <w:rPr>
          <w:rFonts w:ascii="Arial" w:hAnsi="Arial"/>
          <w:sz w:val="22"/>
        </w:rPr>
        <w:t>: Existing deep models are purely data-driven, frequently predicting impossible thermodynamic flux profiles.</w:t>
      </w:r>
    </w:p>
    <w:p>
      <w:pPr>
        <w:spacing w:before="0" w:after="80" w:line="276" w:lineRule="auto"/>
        <w:ind w:left="360"/>
      </w:pPr>
      <w:r>
        <w:rPr>
          <w:rFonts w:ascii="Arial" w:hAnsi="Arial"/>
          <w:b/>
          <w:sz w:val="22"/>
        </w:rPr>
        <w:t xml:space="preserve">* </w:t>
      </w:r>
      <w:r>
        <w:rPr>
          <w:rFonts w:ascii="Arial" w:hAnsi="Arial"/>
          <w:b/>
          <w:sz w:val="22"/>
        </w:rPr>
        <w:t>Single-Instrument Narrow Bandwidths</w:t>
      </w:r>
      <w:r>
        <w:rPr>
          <w:rFonts w:ascii="Arial" w:hAnsi="Arial"/>
          <w:sz w:val="22"/>
        </w:rPr>
        <w:t>: Prior models rely on isolated passbands, failing to exploit cross-spectral energy transfer.</w:t>
      </w:r>
    </w:p>
    <w:p>
      <w:pPr>
        <w:spacing w:before="0" w:after="80" w:line="276" w:lineRule="auto"/>
        <w:ind w:left="360"/>
      </w:pPr>
      <w:r>
        <w:rPr>
          <w:rFonts w:ascii="Arial" w:hAnsi="Arial"/>
          <w:b/>
          <w:sz w:val="22"/>
        </w:rPr>
        <w:t xml:space="preserve">* </w:t>
      </w:r>
      <w:r>
        <w:rPr>
          <w:rFonts w:ascii="Arial" w:hAnsi="Arial"/>
          <w:b/>
          <w:sz w:val="22"/>
        </w:rPr>
        <w:t>Severe Class Imbalance Neglect</w:t>
      </w:r>
      <w:r>
        <w:rPr>
          <w:rFonts w:ascii="Arial" w:hAnsi="Arial"/>
          <w:sz w:val="22"/>
        </w:rPr>
        <w:t>: Standard cross-entropy loss causes catastrophic bias toward quiet-Sun background periods.</w:t>
      </w:r>
    </w:p>
    <w:p>
      <w:pPr>
        <w:spacing w:before="0" w:after="80" w:line="276" w:lineRule="auto"/>
        <w:ind w:left="360"/>
      </w:pPr>
      <w:r>
        <w:rPr>
          <w:rFonts w:ascii="Arial" w:hAnsi="Arial"/>
          <w:b/>
          <w:sz w:val="22"/>
        </w:rPr>
        <w:t xml:space="preserve">* </w:t>
      </w:r>
      <w:r>
        <w:rPr>
          <w:rFonts w:ascii="Arial" w:hAnsi="Arial"/>
          <w:b/>
          <w:sz w:val="22"/>
        </w:rPr>
        <w:t>Lack of Rigorous Uncertainty Guarantees</w:t>
      </w:r>
      <w:r>
        <w:rPr>
          <w:rFonts w:ascii="Arial" w:hAnsi="Arial"/>
          <w:sz w:val="22"/>
        </w:rPr>
        <w:t>: Overconfident false alarms undermine operational trust and waste satellite propellant.</w:t>
      </w:r>
    </w:p>
    <w:p>
      <w:r>
        <w:br w:type="page"/>
      </w:r>
    </w:p>
    <w:p>
      <w:pPr>
        <w:keepNext/>
        <w:spacing w:before="320" w:after="120"/>
        <w:jc w:val="left"/>
      </w:pPr>
      <w:r>
        <w:rPr>
          <w:rFonts w:ascii="Arial" w:hAnsi="Arial"/>
          <w:b/>
          <w:color w:val="000000"/>
          <w:sz w:val="28"/>
        </w:rPr>
        <w:t>3. REQUIREMENTS ANALYSIS</w:t>
      </w:r>
    </w:p>
    <w:p>
      <w:pPr>
        <w:keepNext/>
        <w:spacing w:before="240" w:after="80"/>
        <w:jc w:val="left"/>
      </w:pPr>
      <w:r>
        <w:rPr>
          <w:rFonts w:ascii="Arial" w:hAnsi="Arial"/>
          <w:b/>
          <w:color w:val="000000"/>
          <w:sz w:val="24"/>
        </w:rPr>
        <w:t>3.1 Hardware and Software Environment Specifications</w:t>
      </w:r>
    </w:p>
    <w:p>
      <w:pPr>
        <w:spacing w:before="0" w:after="120" w:line="300" w:lineRule="auto"/>
        <w:jc w:val="both"/>
      </w:pPr>
      <w:r>
        <w:rPr>
          <w:rFonts w:ascii="Arial" w:hAnsi="Arial"/>
          <w:b w:val="0"/>
          <w:i w:val="0"/>
          <w:color w:val="000000"/>
          <w:sz w:val="22"/>
        </w:rPr>
        <w:t>Developing and deploying an operational space weather AI pipeline demands rigorous computational specifications spanning in-orbit telemetry ingestion, distributed deep model training, and sub-second real-time inference:</w:t>
      </w:r>
    </w:p>
    <w:p>
      <w:pPr>
        <w:spacing w:before="0" w:after="80" w:line="276" w:lineRule="auto"/>
        <w:ind w:left="360"/>
      </w:pPr>
      <w:r>
        <w:rPr>
          <w:rFonts w:ascii="Arial" w:hAnsi="Arial"/>
          <w:b/>
          <w:sz w:val="22"/>
        </w:rPr>
        <w:t xml:space="preserve">* </w:t>
      </w:r>
      <w:r>
        <w:rPr>
          <w:rFonts w:ascii="Arial" w:hAnsi="Arial"/>
          <w:b/>
          <w:sz w:val="22"/>
        </w:rPr>
        <w:t>Compute Hardware</w:t>
      </w:r>
      <w:r>
        <w:rPr>
          <w:rFonts w:ascii="Arial" w:hAnsi="Arial"/>
          <w:sz w:val="22"/>
        </w:rPr>
        <w:t>: Workstation powered by an Intel Core i7-13700H (14 cores, 20 threads, up to 5.0 GHz) and NVIDIA GeForce RTX GPU with 8GB GDDR6 VRAM.</w:t>
      </w:r>
    </w:p>
    <w:p>
      <w:pPr>
        <w:spacing w:before="0" w:after="80" w:line="276" w:lineRule="auto"/>
        <w:ind w:left="360"/>
      </w:pPr>
      <w:r>
        <w:rPr>
          <w:rFonts w:ascii="Arial" w:hAnsi="Arial"/>
          <w:b/>
          <w:sz w:val="22"/>
        </w:rPr>
        <w:t xml:space="preserve">* </w:t>
      </w:r>
      <w:r>
        <w:rPr>
          <w:rFonts w:ascii="Arial" w:hAnsi="Arial"/>
          <w:b/>
          <w:sz w:val="22"/>
        </w:rPr>
        <w:t>System Memory &amp; Storage</w:t>
      </w:r>
      <w:r>
        <w:rPr>
          <w:rFonts w:ascii="Arial" w:hAnsi="Arial"/>
          <w:sz w:val="22"/>
        </w:rPr>
        <w:t>: 32 GB DDR5 RAM, 1 TB PCIe 4.0 NVMe SSD for fast HDF5 time-series chunking.</w:t>
      </w:r>
    </w:p>
    <w:p>
      <w:pPr>
        <w:spacing w:before="0" w:after="80" w:line="276" w:lineRule="auto"/>
        <w:ind w:left="360"/>
      </w:pPr>
      <w:r>
        <w:rPr>
          <w:rFonts w:ascii="Arial" w:hAnsi="Arial"/>
          <w:b/>
          <w:sz w:val="22"/>
        </w:rPr>
        <w:t xml:space="preserve">* </w:t>
      </w:r>
      <w:r>
        <w:rPr>
          <w:rFonts w:ascii="Arial" w:hAnsi="Arial"/>
          <w:b/>
          <w:sz w:val="22"/>
        </w:rPr>
        <w:t>Operating System</w:t>
      </w:r>
      <w:r>
        <w:rPr>
          <w:rFonts w:ascii="Arial" w:hAnsi="Arial"/>
          <w:sz w:val="22"/>
        </w:rPr>
        <w:t>: Microsoft Windows 11 Enterprise (64-bit), Ubuntu 22.04 LTS (WSL2 Linux Kernel 5.15).</w:t>
      </w:r>
    </w:p>
    <w:p>
      <w:pPr>
        <w:spacing w:before="0" w:after="80" w:line="276" w:lineRule="auto"/>
        <w:ind w:left="360"/>
      </w:pPr>
      <w:r>
        <w:rPr>
          <w:rFonts w:ascii="Arial" w:hAnsi="Arial"/>
          <w:b/>
          <w:sz w:val="22"/>
        </w:rPr>
        <w:t xml:space="preserve">* </w:t>
      </w:r>
      <w:r>
        <w:rPr>
          <w:rFonts w:ascii="Arial" w:hAnsi="Arial"/>
          <w:b/>
          <w:sz w:val="22"/>
        </w:rPr>
        <w:t>Deep Learning Frameworks</w:t>
      </w:r>
      <w:r>
        <w:rPr>
          <w:rFonts w:ascii="Arial" w:hAnsi="Arial"/>
          <w:sz w:val="22"/>
        </w:rPr>
        <w:t>: Python 3.12, PyTorch 2.4.1 (CUDA 12.4), PyTorch Geometric (PyG), torch-scatter.</w:t>
      </w:r>
    </w:p>
    <w:p>
      <w:pPr>
        <w:spacing w:before="0" w:after="80" w:line="276" w:lineRule="auto"/>
        <w:ind w:left="360"/>
      </w:pPr>
      <w:r>
        <w:rPr>
          <w:rFonts w:ascii="Arial" w:hAnsi="Arial"/>
          <w:b/>
          <w:sz w:val="22"/>
        </w:rPr>
        <w:t xml:space="preserve">* </w:t>
      </w:r>
      <w:r>
        <w:rPr>
          <w:rFonts w:ascii="Arial" w:hAnsi="Arial"/>
          <w:b/>
          <w:sz w:val="22"/>
        </w:rPr>
        <w:t>Scientific &amp; Verification</w:t>
      </w:r>
      <w:r>
        <w:rPr>
          <w:rFonts w:ascii="Arial" w:hAnsi="Arial"/>
          <w:sz w:val="22"/>
        </w:rPr>
        <w:t>: Astropy 6.1, SunPy 5.1, scikit-learn 1.5, NumPy 2.0, SciPy 1.13, PyMuPDF 1.24.</w:t>
      </w:r>
    </w:p>
    <w:p>
      <w:pPr>
        <w:spacing w:before="0" w:after="80" w:line="276" w:lineRule="auto"/>
        <w:ind w:left="360"/>
      </w:pPr>
      <w:r>
        <w:rPr>
          <w:rFonts w:ascii="Arial" w:hAnsi="Arial"/>
          <w:b/>
          <w:sz w:val="22"/>
        </w:rPr>
        <w:t xml:space="preserve">* </w:t>
      </w:r>
      <w:r>
        <w:rPr>
          <w:rFonts w:ascii="Arial" w:hAnsi="Arial"/>
          <w:b/>
          <w:sz w:val="22"/>
        </w:rPr>
        <w:t>Serving Infrastructure</w:t>
      </w:r>
      <w:r>
        <w:rPr>
          <w:rFonts w:ascii="Arial" w:hAnsi="Arial"/>
          <w:sz w:val="22"/>
        </w:rPr>
        <w:t>: FastAPI 0.115, Uvicorn, Playwright Chromium for automated telemetry reporting.</w:t>
      </w:r>
    </w:p>
    <w:p>
      <w:pPr>
        <w:keepNext/>
        <w:spacing w:before="240" w:after="80"/>
        <w:jc w:val="left"/>
      </w:pPr>
      <w:r>
        <w:rPr>
          <w:rFonts w:ascii="Arial" w:hAnsi="Arial"/>
          <w:b/>
          <w:color w:val="000000"/>
          <w:sz w:val="24"/>
        </w:rPr>
        <w:t>3.2 Telemetry Ingestion Pipeline (ISSDC/PRADAN &amp; NOAA)</w:t>
      </w:r>
    </w:p>
    <w:p>
      <w:pPr>
        <w:spacing w:before="0" w:after="120" w:line="300" w:lineRule="auto"/>
        <w:jc w:val="both"/>
      </w:pPr>
      <w:r>
        <w:rPr>
          <w:rFonts w:ascii="Arial" w:hAnsi="Arial"/>
          <w:b w:val="0"/>
          <w:i w:val="0"/>
          <w:color w:val="000000"/>
          <w:sz w:val="22"/>
        </w:rPr>
        <w:t>The system ingests real-time and historical telemetry across multiple spaceborne observatories. Primary in-situ X-ray telemetry is sourced from the Indian Space Science Data Centre (ISSDC) PRADAN portal hosting Aditya-L1 Level-2 calibrated science data for SoLEXS and HEL1OS. Auxiliary cross-calibration feeds are streamed from NOAA's GOES-R primary satellite (GOES-16/18 EXIS/XRS) and SDO/HMI vector magnetograms via NASA CDAWeb and the Helioviewer REST API.</w:t>
      </w:r>
    </w:p>
    <w:p>
      <w:pPr>
        <w:keepNext/>
        <w:spacing w:before="240" w:after="80"/>
        <w:jc w:val="left"/>
      </w:pPr>
      <w:r>
        <w:rPr>
          <w:rFonts w:ascii="Arial" w:hAnsi="Arial"/>
          <w:b/>
          <w:color w:val="000000"/>
          <w:sz w:val="24"/>
        </w:rPr>
        <w:t>3.3 Data Quality Assurance Protocols (Gates F5.1 to F5.7)</w:t>
      </w:r>
    </w:p>
    <w:p>
      <w:pPr>
        <w:spacing w:before="0" w:after="120" w:line="300" w:lineRule="auto"/>
        <w:jc w:val="both"/>
      </w:pPr>
      <w:r>
        <w:rPr>
          <w:rFonts w:ascii="Arial" w:hAnsi="Arial"/>
          <w:b w:val="0"/>
          <w:i w:val="0"/>
          <w:color w:val="000000"/>
          <w:sz w:val="22"/>
        </w:rPr>
        <w:t>Raw space telemetry is corrupted by orbital data gaps, detector particle saturation, and electronic noise. To ensure pristine input tensors for neural processing, an automated seven-stage data quality gate pipeline was engineered:</w:t>
      </w:r>
    </w:p>
    <w:p>
      <w:pPr>
        <w:spacing w:before="0" w:after="80" w:line="276" w:lineRule="auto"/>
        <w:ind w:left="360"/>
      </w:pPr>
      <w:r>
        <w:rPr>
          <w:rFonts w:ascii="Arial" w:hAnsi="Arial"/>
          <w:b/>
          <w:sz w:val="22"/>
        </w:rPr>
        <w:t xml:space="preserve">* </w:t>
      </w:r>
      <w:r>
        <w:rPr>
          <w:rFonts w:ascii="Arial" w:hAnsi="Arial"/>
          <w:b/>
          <w:sz w:val="22"/>
        </w:rPr>
        <w:t>Gate F5.1 (Cadence Regularization)</w:t>
      </w:r>
      <w:r>
        <w:rPr>
          <w:rFonts w:ascii="Arial" w:hAnsi="Arial"/>
          <w:sz w:val="22"/>
        </w:rPr>
        <w:t>: Interpolates irregular timestamp streams onto a uniform 1-second operational time grid.</w:t>
      </w:r>
    </w:p>
    <w:p>
      <w:pPr>
        <w:spacing w:before="0" w:after="80" w:line="276" w:lineRule="auto"/>
        <w:ind w:left="360"/>
      </w:pPr>
      <w:r>
        <w:rPr>
          <w:rFonts w:ascii="Arial" w:hAnsi="Arial"/>
          <w:b/>
          <w:sz w:val="22"/>
        </w:rPr>
        <w:t xml:space="preserve">* </w:t>
      </w:r>
      <w:r>
        <w:rPr>
          <w:rFonts w:ascii="Arial" w:hAnsi="Arial"/>
          <w:b/>
          <w:sz w:val="22"/>
        </w:rPr>
        <w:t>Gate F5.2 (Dark-Current &amp; Background Removal)</w:t>
      </w:r>
      <w:r>
        <w:rPr>
          <w:rFonts w:ascii="Arial" w:hAnsi="Arial"/>
          <w:sz w:val="22"/>
        </w:rPr>
        <w:t>: Subtracts instrument dark current and galactic cosmic ray background.</w:t>
      </w:r>
    </w:p>
    <w:p>
      <w:pPr>
        <w:spacing w:before="0" w:after="80" w:line="276" w:lineRule="auto"/>
        <w:ind w:left="360"/>
      </w:pPr>
      <w:r>
        <w:rPr>
          <w:rFonts w:ascii="Arial" w:hAnsi="Arial"/>
          <w:b/>
          <w:sz w:val="22"/>
        </w:rPr>
        <w:t xml:space="preserve">* </w:t>
      </w:r>
      <w:r>
        <w:rPr>
          <w:rFonts w:ascii="Arial" w:hAnsi="Arial"/>
          <w:b/>
          <w:sz w:val="22"/>
        </w:rPr>
        <w:t>Gate F5.3 (Missing Telemetry Imputation)</w:t>
      </w:r>
      <w:r>
        <w:rPr>
          <w:rFonts w:ascii="Arial" w:hAnsi="Arial"/>
          <w:sz w:val="22"/>
        </w:rPr>
        <w:t>: Flags continuous data dropouts exceeding 60 seconds and applies physics-bounded monotonic cubic spline interpolation.</w:t>
      </w:r>
    </w:p>
    <w:p>
      <w:pPr>
        <w:spacing w:before="0" w:after="80" w:line="276" w:lineRule="auto"/>
        <w:ind w:left="360"/>
      </w:pPr>
      <w:r>
        <w:rPr>
          <w:rFonts w:ascii="Arial" w:hAnsi="Arial"/>
          <w:b/>
          <w:sz w:val="22"/>
        </w:rPr>
        <w:t xml:space="preserve">* </w:t>
      </w:r>
      <w:r>
        <w:rPr>
          <w:rFonts w:ascii="Arial" w:hAnsi="Arial"/>
          <w:b/>
          <w:sz w:val="22"/>
        </w:rPr>
        <w:t>Gate F5.4 (Particle Hit &amp; Spike Filtering)</w:t>
      </w:r>
      <w:r>
        <w:rPr>
          <w:rFonts w:ascii="Arial" w:hAnsi="Arial"/>
          <w:sz w:val="22"/>
        </w:rPr>
        <w:t>: Eliminates high-energy cosmic ray spikes via rolling 5-second median deviation filters.</w:t>
      </w:r>
    </w:p>
    <w:p>
      <w:pPr>
        <w:spacing w:before="0" w:after="80" w:line="276" w:lineRule="auto"/>
        <w:ind w:left="360"/>
      </w:pPr>
      <w:r>
        <w:rPr>
          <w:rFonts w:ascii="Arial" w:hAnsi="Arial"/>
          <w:b/>
          <w:sz w:val="22"/>
        </w:rPr>
        <w:t xml:space="preserve">* </w:t>
      </w:r>
      <w:r>
        <w:rPr>
          <w:rFonts w:ascii="Arial" w:hAnsi="Arial"/>
          <w:b/>
          <w:sz w:val="22"/>
        </w:rPr>
        <w:t>Gate F5.5 (Multi-Spectral Passband Alignment)</w:t>
      </w:r>
      <w:r>
        <w:rPr>
          <w:rFonts w:ascii="Arial" w:hAnsi="Arial"/>
          <w:sz w:val="22"/>
        </w:rPr>
        <w:t>: Synchronizes all 5 spectral bands within a strict +-0.5 second temporal tolerance.</w:t>
      </w:r>
    </w:p>
    <w:p>
      <w:pPr>
        <w:spacing w:before="0" w:after="80" w:line="276" w:lineRule="auto"/>
        <w:ind w:left="360"/>
      </w:pPr>
      <w:r>
        <w:rPr>
          <w:rFonts w:ascii="Arial" w:hAnsi="Arial"/>
          <w:b/>
          <w:sz w:val="22"/>
        </w:rPr>
        <w:t xml:space="preserve">* </w:t>
      </w:r>
      <w:r>
        <w:rPr>
          <w:rFonts w:ascii="Arial" w:hAnsi="Arial"/>
          <w:b/>
          <w:sz w:val="22"/>
        </w:rPr>
        <w:t>Gate F5.6 (Derivative Finite Differencing)</w:t>
      </w:r>
      <w:r>
        <w:rPr>
          <w:rFonts w:ascii="Arial" w:hAnsi="Arial"/>
          <w:sz w:val="22"/>
        </w:rPr>
        <w:t>: Computes clean forward numerical derivatives d(F_SXR)/dt using 4th-order central difference stencils.</w:t>
      </w:r>
    </w:p>
    <w:p>
      <w:pPr>
        <w:spacing w:before="0" w:after="80" w:line="276" w:lineRule="auto"/>
        <w:ind w:left="360"/>
      </w:pPr>
      <w:r>
        <w:rPr>
          <w:rFonts w:ascii="Arial" w:hAnsi="Arial"/>
          <w:b/>
          <w:sz w:val="22"/>
        </w:rPr>
        <w:t xml:space="preserve">* </w:t>
      </w:r>
      <w:r>
        <w:rPr>
          <w:rFonts w:ascii="Arial" w:hAnsi="Arial"/>
          <w:b/>
          <w:sz w:val="22"/>
        </w:rPr>
        <w:t>Gate F5.7 (Class Annotation &amp; Flare Matching)</w:t>
      </w:r>
      <w:r>
        <w:rPr>
          <w:rFonts w:ascii="Arial" w:hAnsi="Arial"/>
          <w:sz w:val="22"/>
        </w:rPr>
        <w:t>: Cross-matches flaring peaks against the official GOES Solar Flare Event Catalogue.</w:t>
      </w:r>
    </w:p>
    <w:p>
      <w:pPr>
        <w:keepNext/>
        <w:spacing w:before="240" w:after="80"/>
        <w:jc w:val="left"/>
      </w:pPr>
      <w:r>
        <w:rPr>
          <w:rFonts w:ascii="Arial" w:hAnsi="Arial"/>
          <w:b/>
          <w:color w:val="000000"/>
          <w:sz w:val="24"/>
        </w:rPr>
        <w:t>3.4 ML Evaluation Metrics and Space Weather Verification Battery</w:t>
      </w:r>
    </w:p>
    <w:p>
      <w:pPr>
        <w:spacing w:before="0" w:after="120" w:line="300" w:lineRule="auto"/>
        <w:jc w:val="both"/>
      </w:pPr>
      <w:r>
        <w:rPr>
          <w:rFonts w:ascii="Arial" w:hAnsi="Arial"/>
          <w:b w:val="0"/>
          <w:i w:val="0"/>
          <w:color w:val="000000"/>
          <w:sz w:val="22"/>
        </w:rPr>
        <w:t>Due to severe class imbalance, conventional classification accuracy is completely meaningless. In space weather forecasting, models must be rigorously evaluated using contingency-table skill scores (Bloomfield et al., 2012):</w:t>
      </w:r>
    </w:p>
    <w:p>
      <w:pPr>
        <w:spacing w:before="0" w:after="80" w:line="276" w:lineRule="auto"/>
        <w:ind w:left="360"/>
      </w:pPr>
      <w:r>
        <w:rPr>
          <w:rFonts w:ascii="Arial" w:hAnsi="Arial"/>
          <w:b/>
          <w:sz w:val="22"/>
        </w:rPr>
        <w:t xml:space="preserve">* </w:t>
      </w:r>
      <w:r>
        <w:rPr>
          <w:rFonts w:ascii="Arial" w:hAnsi="Arial"/>
          <w:b/>
          <w:sz w:val="22"/>
        </w:rPr>
        <w:t>True Skill Statistic (TSS)</w:t>
      </w:r>
      <w:r>
        <w:rPr>
          <w:rFonts w:ascii="Arial" w:hAnsi="Arial"/>
          <w:sz w:val="22"/>
        </w:rPr>
        <w:t>: TSS = TPR - FPR = TP/(TP+FN) - FP/(FP+TN). Completely unbiased by class prevalence; ranges from -1 to +1.</w:t>
      </w:r>
    </w:p>
    <w:p>
      <w:pPr>
        <w:spacing w:before="0" w:after="80" w:line="276" w:lineRule="auto"/>
        <w:ind w:left="360"/>
      </w:pPr>
      <w:r>
        <w:rPr>
          <w:rFonts w:ascii="Arial" w:hAnsi="Arial"/>
          <w:b/>
          <w:sz w:val="22"/>
        </w:rPr>
        <w:t xml:space="preserve">* </w:t>
      </w:r>
      <w:r>
        <w:rPr>
          <w:rFonts w:ascii="Arial" w:hAnsi="Arial"/>
          <w:b/>
          <w:sz w:val="22"/>
        </w:rPr>
        <w:t>Heidke Skill Score (HSS)</w:t>
      </w:r>
      <w:r>
        <w:rPr>
          <w:rFonts w:ascii="Arial" w:hAnsi="Arial"/>
          <w:sz w:val="22"/>
        </w:rPr>
        <w:t>: Measures forecast accuracy relative to random chance; penalizes false alarms and misses equally.</w:t>
      </w:r>
    </w:p>
    <w:p>
      <w:pPr>
        <w:spacing w:before="0" w:after="80" w:line="276" w:lineRule="auto"/>
        <w:ind w:left="360"/>
      </w:pPr>
      <w:r>
        <w:rPr>
          <w:rFonts w:ascii="Arial" w:hAnsi="Arial"/>
          <w:b/>
          <w:sz w:val="22"/>
        </w:rPr>
        <w:t xml:space="preserve">* </w:t>
      </w:r>
      <w:r>
        <w:rPr>
          <w:rFonts w:ascii="Arial" w:hAnsi="Arial"/>
          <w:b/>
          <w:sz w:val="22"/>
        </w:rPr>
        <w:t>Brier Skill Score (BSS)</w:t>
      </w:r>
      <w:r>
        <w:rPr>
          <w:rFonts w:ascii="Arial" w:hAnsi="Arial"/>
          <w:sz w:val="22"/>
        </w:rPr>
        <w:t>: Quantifies probabilistic forecast calibration relative to sample climatology: BSS = 1 - BS / BS_ref.</w:t>
      </w:r>
    </w:p>
    <w:p>
      <w:pPr>
        <w:spacing w:before="0" w:after="80" w:line="276" w:lineRule="auto"/>
        <w:ind w:left="360"/>
      </w:pPr>
      <w:r>
        <w:rPr>
          <w:rFonts w:ascii="Arial" w:hAnsi="Arial"/>
          <w:b/>
          <w:sz w:val="22"/>
        </w:rPr>
        <w:t xml:space="preserve">* </w:t>
      </w:r>
      <w:r>
        <w:rPr>
          <w:rFonts w:ascii="Arial" w:hAnsi="Arial"/>
          <w:b/>
          <w:sz w:val="22"/>
        </w:rPr>
        <w:t>Precision-Recall AUC (PR-AUC)</w:t>
      </w:r>
      <w:r>
        <w:rPr>
          <w:rFonts w:ascii="Arial" w:hAnsi="Arial"/>
          <w:sz w:val="22"/>
        </w:rPr>
        <w:t>: Measures the area under the Precision-Recall curve, directly quantifying operational utility under extreme rarity.</w:t>
      </w:r>
    </w:p>
    <w:p>
      <w:r>
        <w:br w:type="page"/>
      </w:r>
    </w:p>
    <w:p>
      <w:pPr>
        <w:keepNext/>
        <w:spacing w:before="320" w:after="120"/>
        <w:jc w:val="left"/>
      </w:pPr>
      <w:r>
        <w:rPr>
          <w:rFonts w:ascii="Arial" w:hAnsi="Arial"/>
          <w:b/>
          <w:color w:val="000000"/>
          <w:sz w:val="28"/>
        </w:rPr>
        <w:t>4. DESIGN DESCRIPTION OF PROPOSED PRODUCT</w:t>
      </w:r>
    </w:p>
    <w:p>
      <w:pPr>
        <w:keepNext/>
        <w:spacing w:before="240" w:after="80"/>
        <w:jc w:val="left"/>
      </w:pPr>
      <w:r>
        <w:rPr>
          <w:rFonts w:ascii="Arial" w:hAnsi="Arial"/>
          <w:b/>
          <w:color w:val="000000"/>
          <w:sz w:val="24"/>
        </w:rPr>
        <w:t>4.1 End-to-End Deep Learning Architecture</w:t>
      </w:r>
    </w:p>
    <w:p>
      <w:pPr>
        <w:spacing w:before="0" w:after="120" w:line="300" w:lineRule="auto"/>
        <w:jc w:val="both"/>
      </w:pPr>
      <w:r>
        <w:rPr>
          <w:rFonts w:ascii="Arial" w:hAnsi="Arial"/>
          <w:b w:val="0"/>
          <w:i w:val="0"/>
          <w:color w:val="000000"/>
          <w:sz w:val="22"/>
        </w:rPr>
        <w:t>The proposed Physics-Informed Spatio-Temporal Graph Transformer (PINN ST-GT) processes streaming multi-instrument telemetry through a unified deep learning pipeline. Raw telemetry is preprocessed through the 7-stage quality assurance battery, structured into a sliding 60-minute window (T = 3600 time steps), mapped into a 5-node graph topology, and passed through alternating spatial graph attention and causal temporal attention layers. The network outputs dual predictions: the calibrated probability of an upcoming X-class flare and the predicted rate of soft X-ray heating.</w:t>
      </w:r>
    </w:p>
    <w:p>
      <w:pPr>
        <w:keepNext/>
        <w:spacing w:before="160" w:after="80"/>
        <w:jc w:val="center"/>
      </w:pPr>
      <w:r>
        <w:drawing>
          <wp:inline xmlns:a="http://schemas.openxmlformats.org/drawingml/2006/main" xmlns:pic="http://schemas.openxmlformats.org/drawingml/2006/picture">
            <wp:extent cx="4572000" cy="2078182"/>
            <wp:docPr id="5" name="Picture 5"/>
            <wp:cNvGraphicFramePr>
              <a:graphicFrameLocks noChangeAspect="1"/>
            </wp:cNvGraphicFramePr>
            <a:graphic>
              <a:graphicData uri="http://schemas.openxmlformats.org/drawingml/2006/picture">
                <pic:pic>
                  <pic:nvPicPr>
                    <pic:cNvPr id="0" name="figure9_graph_transformer_architecture.png"/>
                    <pic:cNvPicPr/>
                  </pic:nvPicPr>
                  <pic:blipFill>
                    <a:blip r:embed="rId12"/>
                    <a:stretch>
                      <a:fillRect/>
                    </a:stretch>
                  </pic:blipFill>
                  <pic:spPr>
                    <a:xfrm>
                      <a:off x="0" y="0"/>
                      <a:ext cx="4572000" cy="2078182"/>
                    </a:xfrm>
                    <a:prstGeom prst="rect"/>
                  </pic:spPr>
                </pic:pic>
              </a:graphicData>
            </a:graphic>
          </wp:inline>
        </w:drawing>
      </w:r>
    </w:p>
    <w:p>
      <w:pPr>
        <w:spacing w:before="40" w:after="160" w:line="276" w:lineRule="auto"/>
        <w:jc w:val="center"/>
      </w:pPr>
      <w:r>
        <w:rPr>
          <w:rFonts w:ascii="Arial" w:hAnsi="Arial"/>
          <w:i/>
          <w:sz w:val="19"/>
        </w:rPr>
        <w:t>Figure 4.1: Spatio-Temporal Graph Transformer Neural Network Architecture with Neupert PINN Bias.</w:t>
      </w:r>
    </w:p>
    <w:p>
      <w:pPr>
        <w:keepNext/>
        <w:spacing w:before="240" w:after="80"/>
        <w:jc w:val="left"/>
      </w:pPr>
      <w:r>
        <w:rPr>
          <w:rFonts w:ascii="Arial" w:hAnsi="Arial"/>
          <w:b/>
          <w:color w:val="000000"/>
          <w:sz w:val="24"/>
        </w:rPr>
        <w:t>4.2 Multi-Spectral 5-Node Graph Formulation</w:t>
      </w:r>
    </w:p>
    <w:p>
      <w:pPr>
        <w:spacing w:before="0" w:after="120" w:line="300" w:lineRule="auto"/>
        <w:jc w:val="both"/>
      </w:pPr>
      <w:r>
        <w:rPr>
          <w:rFonts w:ascii="Arial" w:hAnsi="Arial"/>
          <w:b w:val="0"/>
          <w:i w:val="0"/>
          <w:color w:val="000000"/>
          <w:sz w:val="22"/>
        </w:rPr>
        <w:t>Rather than treating spectral channels as flattened vector features, we model the multi-sensor observational system as a complete graph G = (V, E), where each node v_i in V represents a specific X-ray energy passband:</w:t>
      </w:r>
    </w:p>
    <w:p>
      <w:pPr>
        <w:spacing w:before="0" w:after="80" w:line="276" w:lineRule="auto"/>
        <w:ind w:left="360"/>
      </w:pPr>
      <w:r>
        <w:rPr>
          <w:rFonts w:ascii="Arial" w:hAnsi="Arial"/>
          <w:b/>
          <w:sz w:val="22"/>
        </w:rPr>
        <w:t xml:space="preserve">* </w:t>
      </w:r>
      <w:r>
        <w:rPr>
          <w:rFonts w:ascii="Arial" w:hAnsi="Arial"/>
          <w:b/>
          <w:sz w:val="22"/>
        </w:rPr>
        <w:t>Node 0: SoLEXS Band 1</w:t>
      </w:r>
      <w:r>
        <w:rPr>
          <w:rFonts w:ascii="Arial" w:hAnsi="Arial"/>
          <w:sz w:val="22"/>
        </w:rPr>
        <w:t>: Ultra-soft thermal X-rays (1.0 - 3.0 keV) capturing ambient non-flaring coronal plasma.</w:t>
      </w:r>
    </w:p>
    <w:p>
      <w:pPr>
        <w:spacing w:before="0" w:after="80" w:line="276" w:lineRule="auto"/>
        <w:ind w:left="360"/>
      </w:pPr>
      <w:r>
        <w:rPr>
          <w:rFonts w:ascii="Arial" w:hAnsi="Arial"/>
          <w:b/>
          <w:sz w:val="22"/>
        </w:rPr>
        <w:t xml:space="preserve">* </w:t>
      </w:r>
      <w:r>
        <w:rPr>
          <w:rFonts w:ascii="Arial" w:hAnsi="Arial"/>
          <w:b/>
          <w:sz w:val="22"/>
        </w:rPr>
        <w:t>Node 1: SoLEXS Band 2</w:t>
      </w:r>
      <w:r>
        <w:rPr>
          <w:rFonts w:ascii="Arial" w:hAnsi="Arial"/>
          <w:sz w:val="22"/>
        </w:rPr>
        <w:t>: Soft thermal X-rays (3.0 - 8.0 keV) capturing peak thermal evaporative flare emission.</w:t>
      </w:r>
    </w:p>
    <w:p>
      <w:pPr>
        <w:spacing w:before="0" w:after="80" w:line="276" w:lineRule="auto"/>
        <w:ind w:left="360"/>
      </w:pPr>
      <w:r>
        <w:rPr>
          <w:rFonts w:ascii="Arial" w:hAnsi="Arial"/>
          <w:b/>
          <w:sz w:val="22"/>
        </w:rPr>
        <w:t xml:space="preserve">* </w:t>
      </w:r>
      <w:r>
        <w:rPr>
          <w:rFonts w:ascii="Arial" w:hAnsi="Arial"/>
          <w:b/>
          <w:sz w:val="22"/>
        </w:rPr>
        <w:t>Node 2: SoLEXS Band 3</w:t>
      </w:r>
      <w:r>
        <w:rPr>
          <w:rFonts w:ascii="Arial" w:hAnsi="Arial"/>
          <w:sz w:val="22"/>
        </w:rPr>
        <w:t>: High-energy soft X-rays (8.0 - 15.0 keV) capturing hot flaring loop reconnection tips.</w:t>
      </w:r>
    </w:p>
    <w:p>
      <w:pPr>
        <w:spacing w:before="0" w:after="80" w:line="276" w:lineRule="auto"/>
        <w:ind w:left="360"/>
      </w:pPr>
      <w:r>
        <w:rPr>
          <w:rFonts w:ascii="Arial" w:hAnsi="Arial"/>
          <w:b/>
          <w:sz w:val="22"/>
        </w:rPr>
        <w:t xml:space="preserve">* </w:t>
      </w:r>
      <w:r>
        <w:rPr>
          <w:rFonts w:ascii="Arial" w:hAnsi="Arial"/>
          <w:b/>
          <w:sz w:val="22"/>
        </w:rPr>
        <w:t>Node 3: HEL1OS Band 1</w:t>
      </w:r>
      <w:r>
        <w:rPr>
          <w:rFonts w:ascii="Arial" w:hAnsi="Arial"/>
          <w:sz w:val="22"/>
        </w:rPr>
        <w:t>: Low hard X-rays (10.0 - 30.0 keV) capturing initial non-thermal thick-target electron impact.</w:t>
      </w:r>
    </w:p>
    <w:p>
      <w:pPr>
        <w:spacing w:before="0" w:after="80" w:line="276" w:lineRule="auto"/>
        <w:ind w:left="360"/>
      </w:pPr>
      <w:r>
        <w:rPr>
          <w:rFonts w:ascii="Arial" w:hAnsi="Arial"/>
          <w:b/>
          <w:sz w:val="22"/>
        </w:rPr>
        <w:t xml:space="preserve">* </w:t>
      </w:r>
      <w:r>
        <w:rPr>
          <w:rFonts w:ascii="Arial" w:hAnsi="Arial"/>
          <w:b/>
          <w:sz w:val="22"/>
        </w:rPr>
        <w:t>Node 4: HEL1OS Band 2</w:t>
      </w:r>
      <w:r>
        <w:rPr>
          <w:rFonts w:ascii="Arial" w:hAnsi="Arial"/>
          <w:sz w:val="22"/>
        </w:rPr>
        <w:t>: High hard X-rays (30.0 - 150.0 keV) capturing relativistic non-thermal electron bremsstrahlung.</w:t>
      </w:r>
    </w:p>
    <w:p>
      <w:pPr>
        <w:spacing w:before="0" w:after="120" w:line="300" w:lineRule="auto"/>
        <w:jc w:val="both"/>
      </w:pPr>
      <w:r>
        <w:rPr>
          <w:rFonts w:ascii="Arial" w:hAnsi="Arial"/>
          <w:b w:val="0"/>
          <w:i w:val="0"/>
          <w:color w:val="000000"/>
          <w:sz w:val="22"/>
        </w:rPr>
        <w:t>Edges e_{ij} in E interconnect all node pairs, with edge feature vectors initialized via normalized physical cross-correlation and physical energy differences Delta E_{ij} = |E_i - E_j|.</w:t>
      </w:r>
    </w:p>
    <w:p>
      <w:pPr>
        <w:keepNext/>
        <w:spacing w:before="240" w:after="80"/>
        <w:jc w:val="left"/>
      </w:pPr>
      <w:r>
        <w:rPr>
          <w:rFonts w:ascii="Arial" w:hAnsi="Arial"/>
          <w:b/>
          <w:color w:val="000000"/>
          <w:sz w:val="24"/>
        </w:rPr>
        <w:t>4.3 Spatio-Temporal Graph Transformer Neural Network</w:t>
      </w:r>
    </w:p>
    <w:p>
      <w:pPr>
        <w:spacing w:before="0" w:after="120" w:line="300" w:lineRule="auto"/>
        <w:jc w:val="both"/>
      </w:pPr>
      <w:r>
        <w:rPr>
          <w:rFonts w:ascii="Arial" w:hAnsi="Arial"/>
          <w:b w:val="0"/>
          <w:i w:val="0"/>
          <w:color w:val="000000"/>
          <w:sz w:val="22"/>
        </w:rPr>
        <w:t>The core model architecture comprises four stacked Spatio-Temporal Graph Transformer blocks. Each block alternates between two specialized self-attention operations:</w:t>
      </w:r>
    </w:p>
    <w:p>
      <w:pPr>
        <w:spacing w:before="0" w:after="80" w:line="276" w:lineRule="auto"/>
        <w:ind w:left="360"/>
      </w:pPr>
      <w:r>
        <w:rPr>
          <w:rFonts w:ascii="Arial" w:hAnsi="Arial"/>
          <w:b/>
          <w:sz w:val="22"/>
        </w:rPr>
        <w:t xml:space="preserve">* </w:t>
      </w:r>
      <w:r>
        <w:rPr>
          <w:rFonts w:ascii="Arial" w:hAnsi="Arial"/>
          <w:b/>
          <w:sz w:val="22"/>
        </w:rPr>
        <w:t>Spatial Multi-Head Attention</w:t>
      </w:r>
      <w:r>
        <w:rPr>
          <w:rFonts w:ascii="Arial" w:hAnsi="Arial"/>
          <w:sz w:val="22"/>
        </w:rPr>
        <w:t>: Computes cross-spectral attention across the 5 passband nodes at each timestamp t, allowing the network to dynamically learn which hard X-ray bands are actively transferring energy into which soft X-ray thermal bands.</w:t>
      </w:r>
    </w:p>
    <w:p>
      <w:pPr>
        <w:spacing w:before="0" w:after="80" w:line="276" w:lineRule="auto"/>
        <w:ind w:left="360"/>
      </w:pPr>
      <w:r>
        <w:rPr>
          <w:rFonts w:ascii="Arial" w:hAnsi="Arial"/>
          <w:b/>
          <w:sz w:val="22"/>
        </w:rPr>
        <w:t xml:space="preserve">* </w:t>
      </w:r>
      <w:r>
        <w:rPr>
          <w:rFonts w:ascii="Arial" w:hAnsi="Arial"/>
          <w:b/>
          <w:sz w:val="22"/>
        </w:rPr>
        <w:t>Causal Temporal Multi-Head Attention</w:t>
      </w:r>
      <w:r>
        <w:rPr>
          <w:rFonts w:ascii="Arial" w:hAnsi="Arial"/>
          <w:sz w:val="22"/>
        </w:rPr>
        <w:t>: Computes attention across historical timestamps t in {1, ..., T} with an upper-triangular causal attention mask, strictly preventing information leakage from future timestamps while capturing long-range precursor signatures up to 2 hours prior to eruption.</w:t>
      </w:r>
    </w:p>
    <w:p>
      <w:r>
        <w:br w:type="page"/>
      </w:r>
    </w:p>
    <w:p>
      <w:pPr>
        <w:keepNext/>
        <w:spacing w:before="240" w:after="80"/>
        <w:jc w:val="left"/>
      </w:pPr>
      <w:r>
        <w:rPr>
          <w:rFonts w:ascii="Arial" w:hAnsi="Arial"/>
          <w:b/>
          <w:color w:val="000000"/>
          <w:sz w:val="24"/>
        </w:rPr>
        <w:t>4.4 Differentiable Physics-Informed Loss (PINN Inductive Bias)</w:t>
      </w:r>
    </w:p>
    <w:p>
      <w:pPr>
        <w:spacing w:before="0" w:after="80" w:line="300" w:lineRule="auto"/>
        <w:jc w:val="both"/>
      </w:pPr>
      <w:r>
        <w:rPr>
          <w:rFonts w:ascii="Arial" w:hAnsi="Arial"/>
          <w:b w:val="0"/>
          <w:i w:val="0"/>
          <w:color w:val="000000"/>
          <w:sz w:val="22"/>
        </w:rPr>
        <w:t>To guarantee that the network's internal representations conform to chromospheric evaporation physics, we formulate a differentiable PINN loss term enforcing Werner Neupert's thermodynamic equation directly during backpropagation:</w:t>
      </w:r>
    </w:p>
    <w:p>
      <w:pPr>
        <w:spacing w:before="40" w:after="80" w:line="300" w:lineRule="auto"/>
        <w:jc w:val="center"/>
      </w:pPr>
      <w:r>
        <w:rPr>
          <w:rFonts w:ascii="Arial" w:hAnsi="Arial"/>
          <w:b/>
          <w:i w:val="0"/>
          <w:color w:val="000000"/>
          <w:sz w:val="20"/>
        </w:rPr>
        <w:t>L_PINN = (1 / B) * sum_{b=1}^B || d(F_SXR)/dt - (alpha * F_HXR(t) - beta * F_SXR(t)) ||_2^2</w:t>
      </w:r>
    </w:p>
    <w:p>
      <w:pPr>
        <w:spacing w:before="0" w:after="80" w:line="300" w:lineRule="auto"/>
        <w:jc w:val="both"/>
      </w:pPr>
      <w:r>
        <w:rPr>
          <w:rFonts w:ascii="Arial" w:hAnsi="Arial"/>
          <w:b w:val="0"/>
          <w:i w:val="0"/>
          <w:color w:val="000000"/>
          <w:sz w:val="22"/>
        </w:rPr>
        <w:t>where alpha and beta are learnable positive-clamped parameters representing non-thermal electron deposition efficiency and coronal cooling rate. The composite training loss balances classification and physics via GradNorm (Chen et al., 2018):</w:t>
      </w:r>
    </w:p>
    <w:p>
      <w:pPr>
        <w:spacing w:before="40" w:after="80" w:line="300" w:lineRule="auto"/>
        <w:jc w:val="center"/>
      </w:pPr>
      <w:r>
        <w:rPr>
          <w:rFonts w:ascii="Arial" w:hAnsi="Arial"/>
          <w:b/>
          <w:i w:val="0"/>
          <w:color w:val="000000"/>
          <w:sz w:val="20"/>
        </w:rPr>
        <w:t>L_Total = w_cls(t) * L_Focal + w_pinn(t) * L_PINN</w:t>
      </w:r>
    </w:p>
    <w:p>
      <w:pPr>
        <w:spacing w:before="0" w:after="80" w:line="300" w:lineRule="auto"/>
        <w:jc w:val="both"/>
      </w:pPr>
      <w:r>
        <w:rPr>
          <w:rFonts w:ascii="Arial" w:hAnsi="Arial"/>
          <w:b w:val="0"/>
          <w:i w:val="0"/>
          <w:color w:val="000000"/>
          <w:sz w:val="22"/>
        </w:rPr>
        <w:t>where w_cls(t) and w_pinn(t) are dynamically adjusted at every gradient step so that gradient norms from the physics loss match gradient norms from the focal classification loss, preventing either objective from dominating optimization.</w:t>
      </w:r>
    </w:p>
    <w:p>
      <w:pPr>
        <w:keepNext/>
        <w:spacing w:before="240" w:after="80"/>
        <w:jc w:val="left"/>
      </w:pPr>
      <w:r>
        <w:rPr>
          <w:rFonts w:ascii="Arial" w:hAnsi="Arial"/>
          <w:b/>
          <w:color w:val="000000"/>
          <w:sz w:val="24"/>
        </w:rPr>
        <w:t>4.5 Mondrian Conformal Prediction Calibration</w:t>
      </w:r>
    </w:p>
    <w:p>
      <w:pPr>
        <w:spacing w:before="0" w:after="80" w:line="300" w:lineRule="auto"/>
        <w:jc w:val="both"/>
      </w:pPr>
      <w:r>
        <w:rPr>
          <w:rFonts w:ascii="Arial" w:hAnsi="Arial"/>
          <w:b w:val="0"/>
          <w:i w:val="0"/>
          <w:color w:val="000000"/>
          <w:sz w:val="22"/>
        </w:rPr>
        <w:t>To eliminate overconfident false alarms, we apply split Mondrian conformal prediction (Vovk et al., 2005). Non-conformity scores s_i = 1 - f(x_i)_{y_i} are computed on a held-out calibration split separately for flaring (y=1) and quiet-Sun (y=0) events. At user-specified confidence 1 - epsilon = 0.95, the conformal calibrator computes empirical quantiles q_hat_0 and q_hat_1, producing finite-sample valid prediction sets Gamma(x) guaranteed to contain the ground-truth outcome with 95% probability.</w:t>
      </w:r>
    </w:p>
    <w:p>
      <w:pPr>
        <w:keepNext/>
        <w:spacing w:before="240" w:after="80"/>
        <w:jc w:val="left"/>
      </w:pPr>
      <w:r>
        <w:rPr>
          <w:rFonts w:ascii="Arial" w:hAnsi="Arial"/>
          <w:b/>
          <w:color w:val="000000"/>
          <w:sz w:val="24"/>
        </w:rPr>
        <w:t>4.6 Richardson Economic Cost-Loss Decision Framework</w:t>
      </w:r>
    </w:p>
    <w:p>
      <w:pPr>
        <w:spacing w:before="0" w:after="80" w:line="300" w:lineRule="auto"/>
        <w:jc w:val="both"/>
      </w:pPr>
      <w:r>
        <w:rPr>
          <w:rFonts w:ascii="Arial" w:hAnsi="Arial"/>
          <w:b w:val="0"/>
          <w:i w:val="0"/>
          <w:color w:val="000000"/>
          <w:sz w:val="22"/>
        </w:rPr>
        <w:t>We evaluate real-world utility using the Richardson (2000) cost-loss framework. For a satellite operator facing protective action cost C (e.g., placing instruments into safe hold, payload power-down) and potential damage loss L (solar array degradation, detector burnout), the relative economic value V(C/L) of the forecast over naive climatology is given by:</w:t>
      </w:r>
    </w:p>
    <w:p>
      <w:pPr>
        <w:spacing w:before="40" w:after="80" w:line="300" w:lineRule="auto"/>
        <w:jc w:val="center"/>
      </w:pPr>
      <w:r>
        <w:rPr>
          <w:rFonts w:ascii="Arial" w:hAnsi="Arial"/>
          <w:b/>
          <w:i w:val="0"/>
          <w:color w:val="000000"/>
          <w:sz w:val="20"/>
        </w:rPr>
        <w:t>V(alpha) = (min(alpha, p_base) - [alpha * (TP + FP) + FN]) / (min(alpha, p_base) - alpha * p_base)</w:t>
      </w:r>
    </w:p>
    <w:p>
      <w:pPr>
        <w:spacing w:before="0" w:after="80" w:line="300" w:lineRule="auto"/>
        <w:jc w:val="both"/>
      </w:pPr>
      <w:r>
        <w:rPr>
          <w:rFonts w:ascii="Arial" w:hAnsi="Arial"/>
          <w:b w:val="0"/>
          <w:i w:val="0"/>
          <w:color w:val="000000"/>
          <w:sz w:val="22"/>
        </w:rPr>
        <w:t>where alpha = C/L is the operating cost-loss ratio and p_base is the base-rate climatological flare occurrence.</w:t>
      </w:r>
    </w:p>
    <w:p>
      <w:pPr>
        <w:keepNext/>
        <w:spacing w:before="240" w:after="80"/>
        <w:jc w:val="left"/>
      </w:pPr>
      <w:r>
        <w:rPr>
          <w:rFonts w:ascii="Arial" w:hAnsi="Arial"/>
          <w:b/>
          <w:color w:val="000000"/>
          <w:sz w:val="24"/>
        </w:rPr>
        <w:t>4.7 FastAPI Real-Time Streaming &amp; Operations Cockpit</w:t>
      </w:r>
    </w:p>
    <w:p>
      <w:pPr>
        <w:spacing w:before="0" w:after="80" w:line="300" w:lineRule="auto"/>
        <w:jc w:val="both"/>
      </w:pPr>
      <w:r>
        <w:rPr>
          <w:rFonts w:ascii="Arial" w:hAnsi="Arial"/>
          <w:b w:val="0"/>
          <w:i w:val="0"/>
          <w:color w:val="000000"/>
          <w:sz w:val="22"/>
        </w:rPr>
        <w:t>The finalized model was containerized into a high-throughput, asynchronous FastAPI microservice. The service connects to live Aditya-L1 telemetry websockets, executes the 7-stage quality gate, runs TensorRT-optimized PINN ST-GT inference in under 12 ms, and serves real-time alerts to an interactive browser operations cockpit featuring live lightcurves, attention heatmaps, and conformal bounds.</w:t>
      </w:r>
    </w:p>
    <w:p>
      <w:r>
        <w:br w:type="page"/>
      </w:r>
    </w:p>
    <w:p>
      <w:pPr>
        <w:keepNext/>
        <w:spacing w:before="320" w:after="120"/>
        <w:jc w:val="left"/>
      </w:pPr>
      <w:r>
        <w:rPr>
          <w:rFonts w:ascii="Arial" w:hAnsi="Arial"/>
          <w:b/>
          <w:color w:val="000000"/>
          <w:sz w:val="28"/>
        </w:rPr>
        <w:t>5. RESULTS AND DISCUSSIONS</w:t>
      </w:r>
    </w:p>
    <w:p>
      <w:pPr>
        <w:keepNext/>
        <w:spacing w:before="240" w:after="80"/>
        <w:jc w:val="left"/>
      </w:pPr>
      <w:r>
        <w:rPr>
          <w:rFonts w:ascii="Arial" w:hAnsi="Arial"/>
          <w:b/>
          <w:color w:val="000000"/>
          <w:sz w:val="24"/>
        </w:rPr>
        <w:t>5.1 Empirical Verification of the Neupert Effect on Aditya-L1</w:t>
      </w:r>
    </w:p>
    <w:p>
      <w:pPr>
        <w:spacing w:before="0" w:after="120" w:line="300" w:lineRule="auto"/>
        <w:jc w:val="both"/>
      </w:pPr>
      <w:r>
        <w:rPr>
          <w:rFonts w:ascii="Arial" w:hAnsi="Arial"/>
          <w:b w:val="0"/>
          <w:i w:val="0"/>
          <w:color w:val="000000"/>
          <w:sz w:val="22"/>
        </w:rPr>
        <w:t>We analyzed four major in-orbit solar flare events observed by Aditya-L1: SOL2024-05-08 (X1.0), SOL2024-05-10 (X3.98), SOL2024-05-11 (X5.8), and the historic SOL2024-10-03 (X9.0) superflare. Figure 5.1 illustrates the synchronized multi-spectral lightcurves recorded by SoLEXS (1-15 keV) and HEL1OS (10-150 keV). In all four events, impulsive hard X-ray bursts systematically preceded peak thermal soft X-ray emissions.</w:t>
      </w:r>
    </w:p>
    <w:p>
      <w:pPr>
        <w:keepNext/>
        <w:spacing w:before="160" w:after="80"/>
        <w:jc w:val="center"/>
      </w:pPr>
      <w:r>
        <w:drawing>
          <wp:inline xmlns:a="http://schemas.openxmlformats.org/drawingml/2006/main" xmlns:pic="http://schemas.openxmlformats.org/drawingml/2006/picture">
            <wp:extent cx="4206240" cy="2850236"/>
            <wp:docPr id="6" name="Picture 6"/>
            <wp:cNvGraphicFramePr>
              <a:graphicFrameLocks noChangeAspect="1"/>
            </wp:cNvGraphicFramePr>
            <a:graphic>
              <a:graphicData uri="http://schemas.openxmlformats.org/drawingml/2006/picture">
                <pic:pic>
                  <pic:nvPicPr>
                    <pic:cNvPr id="0" name="figure5_lightcurves.png"/>
                    <pic:cNvPicPr/>
                  </pic:nvPicPr>
                  <pic:blipFill>
                    <a:blip r:embed="rId13"/>
                    <a:stretch>
                      <a:fillRect/>
                    </a:stretch>
                  </pic:blipFill>
                  <pic:spPr>
                    <a:xfrm>
                      <a:off x="0" y="0"/>
                      <a:ext cx="4206240" cy="2850236"/>
                    </a:xfrm>
                    <a:prstGeom prst="rect"/>
                  </pic:spPr>
                </pic:pic>
              </a:graphicData>
            </a:graphic>
          </wp:inline>
        </w:drawing>
      </w:r>
    </w:p>
    <w:p>
      <w:pPr>
        <w:spacing w:before="40" w:after="160" w:line="276" w:lineRule="auto"/>
        <w:jc w:val="center"/>
      </w:pPr>
      <w:r>
        <w:rPr>
          <w:rFonts w:ascii="Arial" w:hAnsi="Arial"/>
          <w:i/>
          <w:sz w:val="19"/>
        </w:rPr>
        <w:t>Figure 5.1: Synchronized Lightcurves for the Four Major X-Class Solar Flares Observed by Aditya-L1 (SoLEXS &amp; HEL1OS).</w:t>
      </w:r>
    </w:p>
    <w:p>
      <w:r>
        <w:br w:type="page"/>
      </w:r>
    </w:p>
    <w:p>
      <w:pPr>
        <w:spacing w:before="0" w:after="120" w:line="300" w:lineRule="auto"/>
        <w:jc w:val="both"/>
      </w:pPr>
      <w:r>
        <w:rPr>
          <w:rFonts w:ascii="Arial" w:hAnsi="Arial"/>
          <w:b w:val="0"/>
          <w:i w:val="0"/>
          <w:color w:val="000000"/>
          <w:sz w:val="22"/>
        </w:rPr>
        <w:t>Figure 5.2 plots empirical scatter distributions comparing soft X-ray flux against instantaneous versus time-integrated hard X-ray irradiance. Across all flaring episodes, the time integral of HEL1OS hard X-ray emission exhibits a striking linear correlation (Pearson r = 0.934 to 0.985) with SoLEXS soft X-ray flux, providing irrefutable empirical confirmation of Neupert chromospheric evaporation aboard Aditya-L1 (Table 5.1).</w:t>
      </w:r>
    </w:p>
    <w:p>
      <w:pPr>
        <w:keepNext/>
        <w:spacing w:before="160" w:after="80"/>
        <w:jc w:val="center"/>
      </w:pPr>
      <w:r>
        <w:drawing>
          <wp:inline xmlns:a="http://schemas.openxmlformats.org/drawingml/2006/main" xmlns:pic="http://schemas.openxmlformats.org/drawingml/2006/picture">
            <wp:extent cx="3474720" cy="2898805"/>
            <wp:docPr id="7" name="Picture 7"/>
            <wp:cNvGraphicFramePr>
              <a:graphicFrameLocks noChangeAspect="1"/>
            </wp:cNvGraphicFramePr>
            <a:graphic>
              <a:graphicData uri="http://schemas.openxmlformats.org/drawingml/2006/picture">
                <pic:pic>
                  <pic:nvPicPr>
                    <pic:cNvPr id="0" name="figure7_neupert_scatter.png"/>
                    <pic:cNvPicPr/>
                  </pic:nvPicPr>
                  <pic:blipFill>
                    <a:blip r:embed="rId14"/>
                    <a:stretch>
                      <a:fillRect/>
                    </a:stretch>
                  </pic:blipFill>
                  <pic:spPr>
                    <a:xfrm>
                      <a:off x="0" y="0"/>
                      <a:ext cx="3474720" cy="2898805"/>
                    </a:xfrm>
                    <a:prstGeom prst="rect"/>
                  </pic:spPr>
                </pic:pic>
              </a:graphicData>
            </a:graphic>
          </wp:inline>
        </w:drawing>
      </w:r>
    </w:p>
    <w:p>
      <w:pPr>
        <w:spacing w:before="40" w:after="160" w:line="276" w:lineRule="auto"/>
        <w:jc w:val="center"/>
      </w:pPr>
      <w:r>
        <w:rPr>
          <w:rFonts w:ascii="Arial" w:hAnsi="Arial"/>
          <w:i/>
          <w:sz w:val="19"/>
        </w:rPr>
        <w:t>Figure 5.2: Empirical Neupert Scatter Plots (Soft X-Ray Flux vs. Direct and Time-Integrated Hard X-Ray Irradiance).</w:t>
      </w:r>
    </w:p>
    <w:p>
      <w:pPr>
        <w:keepNext/>
      </w:pPr>
      <w:r>
        <w:rPr>
          <w:b/>
          <w:sz w:val="20"/>
        </w:rPr>
        <w:t>Table 5.1: Empirical Neupert Effect Verification Across Aditya-L1 Flare Catalogue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one"/>
          <w:right w:val="none"/>
          <w:insideV w:val="none"/>
        </w:tblBorders>
      </w:tblPr>
      <w:tblGrid>
        <w:gridCol w:w="1500"/>
        <w:gridCol w:w="1500"/>
        <w:gridCol w:w="1500"/>
        <w:gridCol w:w="1500"/>
        <w:gridCol w:w="1500"/>
        <w:gridCol w:w="1500"/>
      </w:tblGrid>
      <w:tr>
        <w:trPr>
          <w:cantSplit/>
        </w:trPr>
        <w:tc>
          <w:tcPr>
            <w:tcW w:type="dxa" w:w="1500"/>
            <w:tcMar>
              <w:top w:w="30" w:type="dxa"/>
              <w:bottom w:w="30" w:type="dxa"/>
              <w:left w:w="50" w:type="dxa"/>
              <w:right w:w="50" w:type="dxa"/>
            </w:tcMar>
            <w:shd w:fill="EAECEE"/>
          </w:tcPr>
          <w:p>
            <w:pPr>
              <w:jc w:val="center"/>
            </w:pPr>
            <w:r>
              <w:rPr>
                <w:b/>
                <w:sz w:val="17"/>
              </w:rPr>
              <w:t>Flare Event</w:t>
            </w:r>
          </w:p>
        </w:tc>
        <w:tc>
          <w:tcPr>
            <w:tcW w:type="dxa" w:w="1500"/>
            <w:tcMar>
              <w:top w:w="30" w:type="dxa"/>
              <w:bottom w:w="30" w:type="dxa"/>
              <w:left w:w="50" w:type="dxa"/>
              <w:right w:w="50" w:type="dxa"/>
            </w:tcMar>
            <w:shd w:fill="EAECEE"/>
          </w:tcPr>
          <w:p>
            <w:pPr>
              <w:jc w:val="center"/>
            </w:pPr>
            <w:r>
              <w:rPr>
                <w:b/>
                <w:sz w:val="17"/>
              </w:rPr>
              <w:t>GOES Class</w:t>
            </w:r>
          </w:p>
        </w:tc>
        <w:tc>
          <w:tcPr>
            <w:tcW w:type="dxa" w:w="1500"/>
            <w:tcMar>
              <w:top w:w="30" w:type="dxa"/>
              <w:bottom w:w="30" w:type="dxa"/>
              <w:left w:w="50" w:type="dxa"/>
              <w:right w:w="50" w:type="dxa"/>
            </w:tcMar>
            <w:shd w:fill="EAECEE"/>
          </w:tcPr>
          <w:p>
            <w:pPr>
              <w:jc w:val="center"/>
            </w:pPr>
            <w:r>
              <w:rPr>
                <w:b/>
                <w:sz w:val="17"/>
              </w:rPr>
              <w:t>Peak UT</w:t>
            </w:r>
          </w:p>
        </w:tc>
        <w:tc>
          <w:tcPr>
            <w:tcW w:type="dxa" w:w="1500"/>
            <w:tcMar>
              <w:top w:w="30" w:type="dxa"/>
              <w:bottom w:w="30" w:type="dxa"/>
              <w:left w:w="50" w:type="dxa"/>
              <w:right w:w="50" w:type="dxa"/>
            </w:tcMar>
            <w:shd w:fill="EAECEE"/>
          </w:tcPr>
          <w:p>
            <w:pPr>
              <w:jc w:val="center"/>
            </w:pPr>
            <w:r>
              <w:rPr>
                <w:b/>
                <w:sz w:val="17"/>
              </w:rPr>
              <w:t>Raw r</w:t>
            </w:r>
          </w:p>
        </w:tc>
        <w:tc>
          <w:tcPr>
            <w:tcW w:type="dxa" w:w="1500"/>
            <w:tcMar>
              <w:top w:w="30" w:type="dxa"/>
              <w:bottom w:w="30" w:type="dxa"/>
              <w:left w:w="50" w:type="dxa"/>
              <w:right w:w="50" w:type="dxa"/>
            </w:tcMar>
            <w:shd w:fill="EAECEE"/>
          </w:tcPr>
          <w:p>
            <w:pPr>
              <w:jc w:val="center"/>
            </w:pPr>
            <w:r>
              <w:rPr>
                <w:b/>
                <w:sz w:val="17"/>
              </w:rPr>
              <w:t>Integrated r</w:t>
            </w:r>
          </w:p>
        </w:tc>
        <w:tc>
          <w:tcPr>
            <w:tcW w:type="dxa" w:w="1500"/>
            <w:tcMar>
              <w:top w:w="30" w:type="dxa"/>
              <w:bottom w:w="30" w:type="dxa"/>
              <w:left w:w="50" w:type="dxa"/>
              <w:right w:w="50" w:type="dxa"/>
            </w:tcMar>
            <w:shd w:fill="EAECEE"/>
          </w:tcPr>
          <w:p>
            <w:pPr>
              <w:jc w:val="center"/>
            </w:pPr>
            <w:r>
              <w:rPr>
                <w:b/>
                <w:sz w:val="17"/>
              </w:rPr>
              <w:t>Lag (s)</w:t>
            </w:r>
          </w:p>
        </w:tc>
      </w:tr>
      <w:tr>
        <w:trPr>
          <w:cantSplit/>
        </w:trPr>
        <w:tc>
          <w:tcPr>
            <w:tcW w:type="dxa" w:w="1500"/>
            <w:tcMar>
              <w:top w:w="30" w:type="dxa"/>
              <w:bottom w:w="30" w:type="dxa"/>
              <w:left w:w="50" w:type="dxa"/>
              <w:right w:w="50" w:type="dxa"/>
            </w:tcMar>
          </w:tcPr>
          <w:p>
            <w:pPr>
              <w:jc w:val="center"/>
            </w:pPr>
            <w:r>
              <w:rPr>
                <w:sz w:val="17"/>
              </w:rPr>
              <w:t>SOL2024-05-08</w:t>
            </w:r>
          </w:p>
        </w:tc>
        <w:tc>
          <w:tcPr>
            <w:tcW w:type="dxa" w:w="1500"/>
            <w:tcMar>
              <w:top w:w="30" w:type="dxa"/>
              <w:bottom w:w="30" w:type="dxa"/>
              <w:left w:w="50" w:type="dxa"/>
              <w:right w:w="50" w:type="dxa"/>
            </w:tcMar>
          </w:tcPr>
          <w:p>
            <w:pPr>
              <w:jc w:val="center"/>
            </w:pPr>
            <w:r>
              <w:rPr>
                <w:sz w:val="17"/>
              </w:rPr>
              <w:t>X1.0</w:t>
            </w:r>
          </w:p>
        </w:tc>
        <w:tc>
          <w:tcPr>
            <w:tcW w:type="dxa" w:w="1500"/>
            <w:tcMar>
              <w:top w:w="30" w:type="dxa"/>
              <w:bottom w:w="30" w:type="dxa"/>
              <w:left w:w="50" w:type="dxa"/>
              <w:right w:w="50" w:type="dxa"/>
            </w:tcMar>
          </w:tcPr>
          <w:p>
            <w:pPr>
              <w:jc w:val="center"/>
            </w:pPr>
            <w:r>
              <w:rPr>
                <w:sz w:val="17"/>
              </w:rPr>
              <w:t>01:41</w:t>
            </w:r>
          </w:p>
        </w:tc>
        <w:tc>
          <w:tcPr>
            <w:tcW w:type="dxa" w:w="1500"/>
            <w:tcMar>
              <w:top w:w="30" w:type="dxa"/>
              <w:bottom w:w="30" w:type="dxa"/>
              <w:left w:w="50" w:type="dxa"/>
              <w:right w:w="50" w:type="dxa"/>
            </w:tcMar>
          </w:tcPr>
          <w:p>
            <w:pPr>
              <w:jc w:val="center"/>
            </w:pPr>
            <w:r>
              <w:rPr>
                <w:sz w:val="17"/>
              </w:rPr>
              <w:t>0.412</w:t>
            </w:r>
          </w:p>
        </w:tc>
        <w:tc>
          <w:tcPr>
            <w:tcW w:type="dxa" w:w="1500"/>
            <w:tcMar>
              <w:top w:w="30" w:type="dxa"/>
              <w:bottom w:w="30" w:type="dxa"/>
              <w:left w:w="50" w:type="dxa"/>
              <w:right w:w="50" w:type="dxa"/>
            </w:tcMar>
          </w:tcPr>
          <w:p>
            <w:pPr>
              <w:jc w:val="center"/>
            </w:pPr>
            <w:r>
              <w:rPr>
                <w:sz w:val="17"/>
              </w:rPr>
              <w:t>0.934</w:t>
            </w:r>
          </w:p>
        </w:tc>
        <w:tc>
          <w:tcPr>
            <w:tcW w:type="dxa" w:w="1500"/>
            <w:tcMar>
              <w:top w:w="30" w:type="dxa"/>
              <w:bottom w:w="30" w:type="dxa"/>
              <w:left w:w="50" w:type="dxa"/>
              <w:right w:w="50" w:type="dxa"/>
            </w:tcMar>
          </w:tcPr>
          <w:p>
            <w:pPr>
              <w:jc w:val="center"/>
            </w:pPr>
            <w:r>
              <w:rPr>
                <w:sz w:val="17"/>
              </w:rPr>
              <w:t>+14.0</w:t>
            </w:r>
          </w:p>
        </w:tc>
      </w:tr>
      <w:tr>
        <w:trPr>
          <w:cantSplit/>
        </w:trPr>
        <w:tc>
          <w:tcPr>
            <w:tcW w:type="dxa" w:w="1500"/>
            <w:tcMar>
              <w:top w:w="30" w:type="dxa"/>
              <w:bottom w:w="30" w:type="dxa"/>
              <w:left w:w="50" w:type="dxa"/>
              <w:right w:w="50" w:type="dxa"/>
            </w:tcMar>
          </w:tcPr>
          <w:p>
            <w:pPr>
              <w:jc w:val="center"/>
            </w:pPr>
            <w:r>
              <w:rPr>
                <w:sz w:val="17"/>
              </w:rPr>
              <w:t>SOL2024-05-10</w:t>
            </w:r>
          </w:p>
        </w:tc>
        <w:tc>
          <w:tcPr>
            <w:tcW w:type="dxa" w:w="1500"/>
            <w:tcMar>
              <w:top w:w="30" w:type="dxa"/>
              <w:bottom w:w="30" w:type="dxa"/>
              <w:left w:w="50" w:type="dxa"/>
              <w:right w:w="50" w:type="dxa"/>
            </w:tcMar>
          </w:tcPr>
          <w:p>
            <w:pPr>
              <w:jc w:val="center"/>
            </w:pPr>
            <w:r>
              <w:rPr>
                <w:sz w:val="17"/>
              </w:rPr>
              <w:t>X3.98</w:t>
            </w:r>
          </w:p>
        </w:tc>
        <w:tc>
          <w:tcPr>
            <w:tcW w:type="dxa" w:w="1500"/>
            <w:tcMar>
              <w:top w:w="30" w:type="dxa"/>
              <w:bottom w:w="30" w:type="dxa"/>
              <w:left w:w="50" w:type="dxa"/>
              <w:right w:w="50" w:type="dxa"/>
            </w:tcMar>
          </w:tcPr>
          <w:p>
            <w:pPr>
              <w:jc w:val="center"/>
            </w:pPr>
            <w:r>
              <w:rPr>
                <w:sz w:val="17"/>
              </w:rPr>
              <w:t>06:54</w:t>
            </w:r>
          </w:p>
        </w:tc>
        <w:tc>
          <w:tcPr>
            <w:tcW w:type="dxa" w:w="1500"/>
            <w:tcMar>
              <w:top w:w="30" w:type="dxa"/>
              <w:bottom w:w="30" w:type="dxa"/>
              <w:left w:w="50" w:type="dxa"/>
              <w:right w:w="50" w:type="dxa"/>
            </w:tcMar>
          </w:tcPr>
          <w:p>
            <w:pPr>
              <w:jc w:val="center"/>
            </w:pPr>
            <w:r>
              <w:rPr>
                <w:sz w:val="17"/>
              </w:rPr>
              <w:t>0.489</w:t>
            </w:r>
          </w:p>
        </w:tc>
        <w:tc>
          <w:tcPr>
            <w:tcW w:type="dxa" w:w="1500"/>
            <w:tcMar>
              <w:top w:w="30" w:type="dxa"/>
              <w:bottom w:w="30" w:type="dxa"/>
              <w:left w:w="50" w:type="dxa"/>
              <w:right w:w="50" w:type="dxa"/>
            </w:tcMar>
          </w:tcPr>
          <w:p>
            <w:pPr>
              <w:jc w:val="center"/>
            </w:pPr>
            <w:r>
              <w:rPr>
                <w:sz w:val="17"/>
              </w:rPr>
              <w:t>0.961</w:t>
            </w:r>
          </w:p>
        </w:tc>
        <w:tc>
          <w:tcPr>
            <w:tcW w:type="dxa" w:w="1500"/>
            <w:tcMar>
              <w:top w:w="30" w:type="dxa"/>
              <w:bottom w:w="30" w:type="dxa"/>
              <w:left w:w="50" w:type="dxa"/>
              <w:right w:w="50" w:type="dxa"/>
            </w:tcMar>
          </w:tcPr>
          <w:p>
            <w:pPr>
              <w:jc w:val="center"/>
            </w:pPr>
            <w:r>
              <w:rPr>
                <w:sz w:val="17"/>
              </w:rPr>
              <w:t>+8.0</w:t>
            </w:r>
          </w:p>
        </w:tc>
      </w:tr>
      <w:tr>
        <w:trPr>
          <w:cantSplit/>
        </w:trPr>
        <w:tc>
          <w:tcPr>
            <w:tcW w:type="dxa" w:w="1500"/>
            <w:tcMar>
              <w:top w:w="30" w:type="dxa"/>
              <w:bottom w:w="30" w:type="dxa"/>
              <w:left w:w="50" w:type="dxa"/>
              <w:right w:w="50" w:type="dxa"/>
            </w:tcMar>
          </w:tcPr>
          <w:p>
            <w:pPr>
              <w:jc w:val="center"/>
            </w:pPr>
            <w:r>
              <w:rPr>
                <w:sz w:val="17"/>
              </w:rPr>
              <w:t>SOL2024-05-11</w:t>
            </w:r>
          </w:p>
        </w:tc>
        <w:tc>
          <w:tcPr>
            <w:tcW w:type="dxa" w:w="1500"/>
            <w:tcMar>
              <w:top w:w="30" w:type="dxa"/>
              <w:bottom w:w="30" w:type="dxa"/>
              <w:left w:w="50" w:type="dxa"/>
              <w:right w:w="50" w:type="dxa"/>
            </w:tcMar>
          </w:tcPr>
          <w:p>
            <w:pPr>
              <w:jc w:val="center"/>
            </w:pPr>
            <w:r>
              <w:rPr>
                <w:sz w:val="17"/>
              </w:rPr>
              <w:t>X5.8</w:t>
            </w:r>
          </w:p>
        </w:tc>
        <w:tc>
          <w:tcPr>
            <w:tcW w:type="dxa" w:w="1500"/>
            <w:tcMar>
              <w:top w:w="30" w:type="dxa"/>
              <w:bottom w:w="30" w:type="dxa"/>
              <w:left w:w="50" w:type="dxa"/>
              <w:right w:w="50" w:type="dxa"/>
            </w:tcMar>
          </w:tcPr>
          <w:p>
            <w:pPr>
              <w:jc w:val="center"/>
            </w:pPr>
            <w:r>
              <w:rPr>
                <w:sz w:val="17"/>
              </w:rPr>
              <w:t>01:23</w:t>
            </w:r>
          </w:p>
        </w:tc>
        <w:tc>
          <w:tcPr>
            <w:tcW w:type="dxa" w:w="1500"/>
            <w:tcMar>
              <w:top w:w="30" w:type="dxa"/>
              <w:bottom w:w="30" w:type="dxa"/>
              <w:left w:w="50" w:type="dxa"/>
              <w:right w:w="50" w:type="dxa"/>
            </w:tcMar>
          </w:tcPr>
          <w:p>
            <w:pPr>
              <w:jc w:val="center"/>
            </w:pPr>
            <w:r>
              <w:rPr>
                <w:sz w:val="17"/>
              </w:rPr>
              <w:t>0.521</w:t>
            </w:r>
          </w:p>
        </w:tc>
        <w:tc>
          <w:tcPr>
            <w:tcW w:type="dxa" w:w="1500"/>
            <w:tcMar>
              <w:top w:w="30" w:type="dxa"/>
              <w:bottom w:w="30" w:type="dxa"/>
              <w:left w:w="50" w:type="dxa"/>
              <w:right w:w="50" w:type="dxa"/>
            </w:tcMar>
          </w:tcPr>
          <w:p>
            <w:pPr>
              <w:jc w:val="center"/>
            </w:pPr>
            <w:r>
              <w:rPr>
                <w:sz w:val="17"/>
              </w:rPr>
              <w:t>0.978</w:t>
            </w:r>
          </w:p>
        </w:tc>
        <w:tc>
          <w:tcPr>
            <w:tcW w:type="dxa" w:w="1500"/>
            <w:tcMar>
              <w:top w:w="30" w:type="dxa"/>
              <w:bottom w:w="30" w:type="dxa"/>
              <w:left w:w="50" w:type="dxa"/>
              <w:right w:w="50" w:type="dxa"/>
            </w:tcMar>
          </w:tcPr>
          <w:p>
            <w:pPr>
              <w:jc w:val="center"/>
            </w:pPr>
            <w:r>
              <w:rPr>
                <w:sz w:val="17"/>
              </w:rPr>
              <w:t>+11.0</w:t>
            </w:r>
          </w:p>
        </w:tc>
      </w:tr>
      <w:tr>
        <w:trPr>
          <w:cantSplit/>
        </w:trPr>
        <w:tc>
          <w:tcPr>
            <w:tcW w:type="dxa" w:w="1500"/>
            <w:tcMar>
              <w:top w:w="30" w:type="dxa"/>
              <w:bottom w:w="30" w:type="dxa"/>
              <w:left w:w="50" w:type="dxa"/>
              <w:right w:w="50" w:type="dxa"/>
            </w:tcMar>
          </w:tcPr>
          <w:p>
            <w:pPr>
              <w:jc w:val="center"/>
            </w:pPr>
            <w:r>
              <w:rPr>
                <w:sz w:val="17"/>
              </w:rPr>
              <w:t>SOL2024-10-03</w:t>
            </w:r>
          </w:p>
        </w:tc>
        <w:tc>
          <w:tcPr>
            <w:tcW w:type="dxa" w:w="1500"/>
            <w:tcMar>
              <w:top w:w="30" w:type="dxa"/>
              <w:bottom w:w="30" w:type="dxa"/>
              <w:left w:w="50" w:type="dxa"/>
              <w:right w:w="50" w:type="dxa"/>
            </w:tcMar>
          </w:tcPr>
          <w:p>
            <w:pPr>
              <w:jc w:val="center"/>
            </w:pPr>
            <w:r>
              <w:rPr>
                <w:sz w:val="17"/>
              </w:rPr>
              <w:t>X9.0</w:t>
            </w:r>
          </w:p>
        </w:tc>
        <w:tc>
          <w:tcPr>
            <w:tcW w:type="dxa" w:w="1500"/>
            <w:tcMar>
              <w:top w:w="30" w:type="dxa"/>
              <w:bottom w:w="30" w:type="dxa"/>
              <w:left w:w="50" w:type="dxa"/>
              <w:right w:w="50" w:type="dxa"/>
            </w:tcMar>
          </w:tcPr>
          <w:p>
            <w:pPr>
              <w:jc w:val="center"/>
            </w:pPr>
            <w:r>
              <w:rPr>
                <w:sz w:val="17"/>
              </w:rPr>
              <w:t>12:18</w:t>
            </w:r>
          </w:p>
        </w:tc>
        <w:tc>
          <w:tcPr>
            <w:tcW w:type="dxa" w:w="1500"/>
            <w:tcMar>
              <w:top w:w="30" w:type="dxa"/>
              <w:bottom w:w="30" w:type="dxa"/>
              <w:left w:w="50" w:type="dxa"/>
              <w:right w:w="50" w:type="dxa"/>
            </w:tcMar>
          </w:tcPr>
          <w:p>
            <w:pPr>
              <w:jc w:val="center"/>
            </w:pPr>
            <w:r>
              <w:rPr>
                <w:sz w:val="17"/>
              </w:rPr>
              <w:t>0.548</w:t>
            </w:r>
          </w:p>
        </w:tc>
        <w:tc>
          <w:tcPr>
            <w:tcW w:type="dxa" w:w="1500"/>
            <w:tcMar>
              <w:top w:w="30" w:type="dxa"/>
              <w:bottom w:w="30" w:type="dxa"/>
              <w:left w:w="50" w:type="dxa"/>
              <w:right w:w="50" w:type="dxa"/>
            </w:tcMar>
          </w:tcPr>
          <w:p>
            <w:pPr>
              <w:jc w:val="center"/>
            </w:pPr>
            <w:r>
              <w:rPr>
                <w:sz w:val="17"/>
              </w:rPr>
              <w:t>0.985</w:t>
            </w:r>
          </w:p>
        </w:tc>
        <w:tc>
          <w:tcPr>
            <w:tcW w:type="dxa" w:w="1500"/>
            <w:tcMar>
              <w:top w:w="30" w:type="dxa"/>
              <w:bottom w:w="30" w:type="dxa"/>
              <w:left w:w="50" w:type="dxa"/>
              <w:right w:w="50" w:type="dxa"/>
            </w:tcMar>
          </w:tcPr>
          <w:p>
            <w:pPr>
              <w:jc w:val="center"/>
            </w:pPr>
            <w:r>
              <w:rPr>
                <w:sz w:val="17"/>
              </w:rPr>
              <w:t>+6.0</w:t>
            </w:r>
          </w:p>
        </w:tc>
      </w:tr>
    </w:tbl>
    <w:p>
      <w:pPr>
        <w:keepNext/>
        <w:spacing w:before="240" w:after="80"/>
        <w:jc w:val="left"/>
      </w:pPr>
      <w:r>
        <w:rPr>
          <w:rFonts w:ascii="Arial" w:hAnsi="Arial"/>
          <w:b/>
          <w:color w:val="000000"/>
          <w:sz w:val="24"/>
        </w:rPr>
        <w:t>5.2 Multi-Spectral Passband Sensitivity Sweep</w:t>
      </w:r>
    </w:p>
    <w:p>
      <w:pPr>
        <w:spacing w:before="0" w:after="120" w:line="300" w:lineRule="auto"/>
        <w:jc w:val="both"/>
      </w:pPr>
      <w:r>
        <w:rPr>
          <w:rFonts w:ascii="Arial" w:hAnsi="Arial"/>
          <w:b w:val="0"/>
          <w:i w:val="0"/>
          <w:color w:val="000000"/>
          <w:sz w:val="22"/>
        </w:rPr>
        <w:t>To rigorously quantify the contribution of each energy passband, a full factorial sensitivity sweep was executed across 40 energy band permutations. As illustrated in Figure 5.3, models incorporating both soft (SoLEXS) and hard (HEL1OS) bands achieve a +38.6% higher correlation than soft-X-ray-only baselines.</w:t>
      </w:r>
    </w:p>
    <w:p>
      <w:pPr>
        <w:keepNext/>
        <w:spacing w:before="160" w:after="80"/>
        <w:jc w:val="center"/>
      </w:pPr>
      <w:r>
        <w:drawing>
          <wp:inline xmlns:a="http://schemas.openxmlformats.org/drawingml/2006/main" xmlns:pic="http://schemas.openxmlformats.org/drawingml/2006/picture">
            <wp:extent cx="4206240" cy="2991734"/>
            <wp:docPr id="8" name="Picture 8"/>
            <wp:cNvGraphicFramePr>
              <a:graphicFrameLocks noChangeAspect="1"/>
            </wp:cNvGraphicFramePr>
            <a:graphic>
              <a:graphicData uri="http://schemas.openxmlformats.org/drawingml/2006/picture">
                <pic:pic>
                  <pic:nvPicPr>
                    <pic:cNvPr id="0" name="figure8_band_sweep.png"/>
                    <pic:cNvPicPr/>
                  </pic:nvPicPr>
                  <pic:blipFill>
                    <a:blip r:embed="rId15"/>
                    <a:stretch>
                      <a:fillRect/>
                    </a:stretch>
                  </pic:blipFill>
                  <pic:spPr>
                    <a:xfrm>
                      <a:off x="0" y="0"/>
                      <a:ext cx="4206240" cy="2991734"/>
                    </a:xfrm>
                    <a:prstGeom prst="rect"/>
                  </pic:spPr>
                </pic:pic>
              </a:graphicData>
            </a:graphic>
          </wp:inline>
        </w:drawing>
      </w:r>
    </w:p>
    <w:p>
      <w:pPr>
        <w:spacing w:before="40" w:after="160" w:line="276" w:lineRule="auto"/>
        <w:jc w:val="center"/>
      </w:pPr>
      <w:r>
        <w:rPr>
          <w:rFonts w:ascii="Arial" w:hAnsi="Arial"/>
          <w:i/>
          <w:sz w:val="19"/>
        </w:rPr>
        <w:t>Figure 5.3: Energy-Band Sensitivity Sweep across 40 Evaluated Passband Permutations Confirming Neupert Superiority.</w:t>
      </w:r>
    </w:p>
    <w:p>
      <w:r>
        <w:br w:type="page"/>
      </w:r>
    </w:p>
    <w:p>
      <w:pPr>
        <w:keepNext/>
        <w:spacing w:before="240" w:after="80"/>
        <w:jc w:val="left"/>
      </w:pPr>
      <w:r>
        <w:rPr>
          <w:rFonts w:ascii="Arial" w:hAnsi="Arial"/>
          <w:b/>
          <w:color w:val="000000"/>
          <w:sz w:val="24"/>
        </w:rPr>
        <w:t>5.3 Comparative Model Benchmark on Held-Out Historic X9.0 Flare</w:t>
      </w:r>
    </w:p>
    <w:p>
      <w:pPr>
        <w:spacing w:before="0" w:after="120" w:line="300" w:lineRule="auto"/>
        <w:jc w:val="both"/>
      </w:pPr>
      <w:r>
        <w:rPr>
          <w:rFonts w:ascii="Arial" w:hAnsi="Arial"/>
          <w:b w:val="0"/>
          <w:i w:val="0"/>
          <w:color w:val="000000"/>
          <w:sz w:val="22"/>
        </w:rPr>
        <w:t>We benchmarked the proposed PINN ST-GT against six baseline architectures on the held-out SOL2024-10-03 (X9.0) superflare. Table 5.2 summarizes the results across the complete space weather verification battery.</w:t>
      </w:r>
    </w:p>
    <w:p>
      <w:pPr>
        <w:keepNext/>
      </w:pPr>
      <w:r>
        <w:rPr>
          <w:b/>
          <w:sz w:val="20"/>
        </w:rPr>
        <w:t>Table 5.2: Comprehensive Architectural Benchmark on Held-Out Historic X9.0 Superflare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one"/>
          <w:right w:val="none"/>
          <w:insideV w:val="none"/>
        </w:tblBorders>
      </w:tblPr>
      <w:tblGrid>
        <w:gridCol w:w="1286"/>
        <w:gridCol w:w="1286"/>
        <w:gridCol w:w="1286"/>
        <w:gridCol w:w="1286"/>
        <w:gridCol w:w="1286"/>
        <w:gridCol w:w="1286"/>
        <w:gridCol w:w="1286"/>
      </w:tblGrid>
      <w:tr>
        <w:trPr>
          <w:cantSplit/>
        </w:trPr>
        <w:tc>
          <w:tcPr>
            <w:tcW w:type="dxa" w:w="1286"/>
            <w:tcMar>
              <w:top w:w="24" w:type="dxa"/>
              <w:bottom w:w="24" w:type="dxa"/>
              <w:left w:w="36" w:type="dxa"/>
              <w:right w:w="36" w:type="dxa"/>
            </w:tcMar>
            <w:shd w:fill="EAECEE"/>
          </w:tcPr>
          <w:p>
            <w:pPr>
              <w:jc w:val="center"/>
            </w:pPr>
            <w:r>
              <w:rPr>
                <w:b/>
                <w:sz w:val="16"/>
              </w:rPr>
              <w:t>Model Architecture</w:t>
            </w:r>
          </w:p>
        </w:tc>
        <w:tc>
          <w:tcPr>
            <w:tcW w:type="dxa" w:w="1286"/>
            <w:tcMar>
              <w:top w:w="24" w:type="dxa"/>
              <w:bottom w:w="24" w:type="dxa"/>
              <w:left w:w="36" w:type="dxa"/>
              <w:right w:w="36" w:type="dxa"/>
            </w:tcMar>
            <w:shd w:fill="EAECEE"/>
          </w:tcPr>
          <w:p>
            <w:pPr>
              <w:jc w:val="center"/>
            </w:pPr>
            <w:r>
              <w:rPr>
                <w:b/>
                <w:sz w:val="16"/>
              </w:rPr>
              <w:t>TSS</w:t>
            </w:r>
          </w:p>
        </w:tc>
        <w:tc>
          <w:tcPr>
            <w:tcW w:type="dxa" w:w="1286"/>
            <w:tcMar>
              <w:top w:w="24" w:type="dxa"/>
              <w:bottom w:w="24" w:type="dxa"/>
              <w:left w:w="36" w:type="dxa"/>
              <w:right w:w="36" w:type="dxa"/>
            </w:tcMar>
            <w:shd w:fill="EAECEE"/>
          </w:tcPr>
          <w:p>
            <w:pPr>
              <w:jc w:val="center"/>
            </w:pPr>
            <w:r>
              <w:rPr>
                <w:b/>
                <w:sz w:val="16"/>
              </w:rPr>
              <w:t>HSS</w:t>
            </w:r>
          </w:p>
        </w:tc>
        <w:tc>
          <w:tcPr>
            <w:tcW w:type="dxa" w:w="1286"/>
            <w:tcMar>
              <w:top w:w="24" w:type="dxa"/>
              <w:bottom w:w="24" w:type="dxa"/>
              <w:left w:w="36" w:type="dxa"/>
              <w:right w:w="36" w:type="dxa"/>
            </w:tcMar>
            <w:shd w:fill="EAECEE"/>
          </w:tcPr>
          <w:p>
            <w:pPr>
              <w:jc w:val="center"/>
            </w:pPr>
            <w:r>
              <w:rPr>
                <w:b/>
                <w:sz w:val="16"/>
              </w:rPr>
              <w:t>BSS</w:t>
            </w:r>
          </w:p>
        </w:tc>
        <w:tc>
          <w:tcPr>
            <w:tcW w:type="dxa" w:w="1286"/>
            <w:tcMar>
              <w:top w:w="24" w:type="dxa"/>
              <w:bottom w:w="24" w:type="dxa"/>
              <w:left w:w="36" w:type="dxa"/>
              <w:right w:w="36" w:type="dxa"/>
            </w:tcMar>
            <w:shd w:fill="EAECEE"/>
          </w:tcPr>
          <w:p>
            <w:pPr>
              <w:jc w:val="center"/>
            </w:pPr>
            <w:r>
              <w:rPr>
                <w:b/>
                <w:sz w:val="16"/>
              </w:rPr>
              <w:t>PR-AUC</w:t>
            </w:r>
          </w:p>
        </w:tc>
        <w:tc>
          <w:tcPr>
            <w:tcW w:type="dxa" w:w="1286"/>
            <w:tcMar>
              <w:top w:w="24" w:type="dxa"/>
              <w:bottom w:w="24" w:type="dxa"/>
              <w:left w:w="36" w:type="dxa"/>
              <w:right w:w="36" w:type="dxa"/>
            </w:tcMar>
            <w:shd w:fill="EAECEE"/>
          </w:tcPr>
          <w:p>
            <w:pPr>
              <w:jc w:val="center"/>
            </w:pPr>
            <w:r>
              <w:rPr>
                <w:b/>
                <w:sz w:val="16"/>
              </w:rPr>
              <w:t>FAR (%)</w:t>
            </w:r>
          </w:p>
        </w:tc>
        <w:tc>
          <w:tcPr>
            <w:tcW w:type="dxa" w:w="1286"/>
            <w:tcMar>
              <w:top w:w="24" w:type="dxa"/>
              <w:bottom w:w="24" w:type="dxa"/>
              <w:left w:w="36" w:type="dxa"/>
              <w:right w:w="36" w:type="dxa"/>
            </w:tcMar>
            <w:shd w:fill="EAECEE"/>
          </w:tcPr>
          <w:p>
            <w:pPr>
              <w:jc w:val="center"/>
            </w:pPr>
            <w:r>
              <w:rPr>
                <w:b/>
                <w:sz w:val="16"/>
              </w:rPr>
              <w:t>Lead Time</w:t>
            </w:r>
          </w:p>
        </w:tc>
      </w:tr>
      <w:tr>
        <w:trPr>
          <w:cantSplit/>
        </w:trPr>
        <w:tc>
          <w:tcPr>
            <w:tcW w:type="dxa" w:w="1286"/>
            <w:tcMar>
              <w:top w:w="24" w:type="dxa"/>
              <w:bottom w:w="24" w:type="dxa"/>
              <w:left w:w="36" w:type="dxa"/>
              <w:right w:w="36" w:type="dxa"/>
            </w:tcMar>
          </w:tcPr>
          <w:p>
            <w:pPr>
              <w:jc w:val="center"/>
            </w:pPr>
            <w:r>
              <w:rPr>
                <w:sz w:val="16"/>
              </w:rPr>
              <w:t>Logistic Regression</w:t>
            </w:r>
          </w:p>
        </w:tc>
        <w:tc>
          <w:tcPr>
            <w:tcW w:type="dxa" w:w="1286"/>
            <w:tcMar>
              <w:top w:w="24" w:type="dxa"/>
              <w:bottom w:w="24" w:type="dxa"/>
              <w:left w:w="36" w:type="dxa"/>
              <w:right w:w="36" w:type="dxa"/>
            </w:tcMar>
          </w:tcPr>
          <w:p>
            <w:pPr>
              <w:jc w:val="center"/>
            </w:pPr>
            <w:r>
              <w:rPr>
                <w:sz w:val="16"/>
              </w:rPr>
              <w:t>0.412</w:t>
            </w:r>
          </w:p>
        </w:tc>
        <w:tc>
          <w:tcPr>
            <w:tcW w:type="dxa" w:w="1286"/>
            <w:tcMar>
              <w:top w:w="24" w:type="dxa"/>
              <w:bottom w:w="24" w:type="dxa"/>
              <w:left w:w="36" w:type="dxa"/>
              <w:right w:w="36" w:type="dxa"/>
            </w:tcMar>
          </w:tcPr>
          <w:p>
            <w:pPr>
              <w:jc w:val="center"/>
            </w:pPr>
            <w:r>
              <w:rPr>
                <w:sz w:val="16"/>
              </w:rPr>
              <w:t>0.345</w:t>
            </w:r>
          </w:p>
        </w:tc>
        <w:tc>
          <w:tcPr>
            <w:tcW w:type="dxa" w:w="1286"/>
            <w:tcMar>
              <w:top w:w="24" w:type="dxa"/>
              <w:bottom w:w="24" w:type="dxa"/>
              <w:left w:w="36" w:type="dxa"/>
              <w:right w:w="36" w:type="dxa"/>
            </w:tcMar>
          </w:tcPr>
          <w:p>
            <w:pPr>
              <w:jc w:val="center"/>
            </w:pPr>
            <w:r>
              <w:rPr>
                <w:sz w:val="16"/>
              </w:rPr>
              <w:t>0.108</w:t>
            </w:r>
          </w:p>
        </w:tc>
        <w:tc>
          <w:tcPr>
            <w:tcW w:type="dxa" w:w="1286"/>
            <w:tcMar>
              <w:top w:w="24" w:type="dxa"/>
              <w:bottom w:w="24" w:type="dxa"/>
              <w:left w:w="36" w:type="dxa"/>
              <w:right w:w="36" w:type="dxa"/>
            </w:tcMar>
          </w:tcPr>
          <w:p>
            <w:pPr>
              <w:jc w:val="center"/>
            </w:pPr>
            <w:r>
              <w:rPr>
                <w:sz w:val="16"/>
              </w:rPr>
              <w:t>0.389</w:t>
            </w:r>
          </w:p>
        </w:tc>
        <w:tc>
          <w:tcPr>
            <w:tcW w:type="dxa" w:w="1286"/>
            <w:tcMar>
              <w:top w:w="24" w:type="dxa"/>
              <w:bottom w:w="24" w:type="dxa"/>
              <w:left w:w="36" w:type="dxa"/>
              <w:right w:w="36" w:type="dxa"/>
            </w:tcMar>
          </w:tcPr>
          <w:p>
            <w:pPr>
              <w:jc w:val="center"/>
            </w:pPr>
            <w:r>
              <w:rPr>
                <w:sz w:val="16"/>
              </w:rPr>
              <w:t>58.4%</w:t>
            </w:r>
          </w:p>
        </w:tc>
        <w:tc>
          <w:tcPr>
            <w:tcW w:type="dxa" w:w="1286"/>
            <w:tcMar>
              <w:top w:w="24" w:type="dxa"/>
              <w:bottom w:w="24" w:type="dxa"/>
              <w:left w:w="36" w:type="dxa"/>
              <w:right w:w="36" w:type="dxa"/>
            </w:tcMar>
          </w:tcPr>
          <w:p>
            <w:pPr>
              <w:jc w:val="center"/>
            </w:pPr>
            <w:r>
              <w:rPr>
                <w:sz w:val="16"/>
              </w:rPr>
              <w:t>0.42 h</w:t>
            </w:r>
          </w:p>
        </w:tc>
      </w:tr>
      <w:tr>
        <w:trPr>
          <w:cantSplit/>
        </w:trPr>
        <w:tc>
          <w:tcPr>
            <w:tcW w:type="dxa" w:w="1286"/>
            <w:tcMar>
              <w:top w:w="24" w:type="dxa"/>
              <w:bottom w:w="24" w:type="dxa"/>
              <w:left w:w="36" w:type="dxa"/>
              <w:right w:w="36" w:type="dxa"/>
            </w:tcMar>
          </w:tcPr>
          <w:p>
            <w:pPr>
              <w:jc w:val="center"/>
            </w:pPr>
            <w:r>
              <w:rPr>
                <w:sz w:val="16"/>
              </w:rPr>
              <w:t>Random Forest</w:t>
            </w:r>
          </w:p>
        </w:tc>
        <w:tc>
          <w:tcPr>
            <w:tcW w:type="dxa" w:w="1286"/>
            <w:tcMar>
              <w:top w:w="24" w:type="dxa"/>
              <w:bottom w:w="24" w:type="dxa"/>
              <w:left w:w="36" w:type="dxa"/>
              <w:right w:w="36" w:type="dxa"/>
            </w:tcMar>
          </w:tcPr>
          <w:p>
            <w:pPr>
              <w:jc w:val="center"/>
            </w:pPr>
            <w:r>
              <w:rPr>
                <w:sz w:val="16"/>
              </w:rPr>
              <w:t>0.589</w:t>
            </w:r>
          </w:p>
        </w:tc>
        <w:tc>
          <w:tcPr>
            <w:tcW w:type="dxa" w:w="1286"/>
            <w:tcMar>
              <w:top w:w="24" w:type="dxa"/>
              <w:bottom w:w="24" w:type="dxa"/>
              <w:left w:w="36" w:type="dxa"/>
              <w:right w:w="36" w:type="dxa"/>
            </w:tcMar>
          </w:tcPr>
          <w:p>
            <w:pPr>
              <w:jc w:val="center"/>
            </w:pPr>
            <w:r>
              <w:rPr>
                <w:sz w:val="16"/>
              </w:rPr>
              <w:t>0.512</w:t>
            </w:r>
          </w:p>
        </w:tc>
        <w:tc>
          <w:tcPr>
            <w:tcW w:type="dxa" w:w="1286"/>
            <w:tcMar>
              <w:top w:w="24" w:type="dxa"/>
              <w:bottom w:w="24" w:type="dxa"/>
              <w:left w:w="36" w:type="dxa"/>
              <w:right w:w="36" w:type="dxa"/>
            </w:tcMar>
          </w:tcPr>
          <w:p>
            <w:pPr>
              <w:jc w:val="center"/>
            </w:pPr>
            <w:r>
              <w:rPr>
                <w:sz w:val="16"/>
              </w:rPr>
              <w:t>0.221</w:t>
            </w:r>
          </w:p>
        </w:tc>
        <w:tc>
          <w:tcPr>
            <w:tcW w:type="dxa" w:w="1286"/>
            <w:tcMar>
              <w:top w:w="24" w:type="dxa"/>
              <w:bottom w:w="24" w:type="dxa"/>
              <w:left w:w="36" w:type="dxa"/>
              <w:right w:w="36" w:type="dxa"/>
            </w:tcMar>
          </w:tcPr>
          <w:p>
            <w:pPr>
              <w:jc w:val="center"/>
            </w:pPr>
            <w:r>
              <w:rPr>
                <w:sz w:val="16"/>
              </w:rPr>
              <w:t>0.562</w:t>
            </w:r>
          </w:p>
        </w:tc>
        <w:tc>
          <w:tcPr>
            <w:tcW w:type="dxa" w:w="1286"/>
            <w:tcMar>
              <w:top w:w="24" w:type="dxa"/>
              <w:bottom w:w="24" w:type="dxa"/>
              <w:left w:w="36" w:type="dxa"/>
              <w:right w:w="36" w:type="dxa"/>
            </w:tcMar>
          </w:tcPr>
          <w:p>
            <w:pPr>
              <w:jc w:val="center"/>
            </w:pPr>
            <w:r>
              <w:rPr>
                <w:sz w:val="16"/>
              </w:rPr>
              <w:t>41.2%</w:t>
            </w:r>
          </w:p>
        </w:tc>
        <w:tc>
          <w:tcPr>
            <w:tcW w:type="dxa" w:w="1286"/>
            <w:tcMar>
              <w:top w:w="24" w:type="dxa"/>
              <w:bottom w:w="24" w:type="dxa"/>
              <w:left w:w="36" w:type="dxa"/>
              <w:right w:w="36" w:type="dxa"/>
            </w:tcMar>
          </w:tcPr>
          <w:p>
            <w:pPr>
              <w:jc w:val="center"/>
            </w:pPr>
            <w:r>
              <w:rPr>
                <w:sz w:val="16"/>
              </w:rPr>
              <w:t>0.85 h</w:t>
            </w:r>
          </w:p>
        </w:tc>
      </w:tr>
      <w:tr>
        <w:trPr>
          <w:cantSplit/>
        </w:trPr>
        <w:tc>
          <w:tcPr>
            <w:tcW w:type="dxa" w:w="1286"/>
            <w:tcMar>
              <w:top w:w="24" w:type="dxa"/>
              <w:bottom w:w="24" w:type="dxa"/>
              <w:left w:w="36" w:type="dxa"/>
              <w:right w:w="36" w:type="dxa"/>
            </w:tcMar>
          </w:tcPr>
          <w:p>
            <w:pPr>
              <w:jc w:val="center"/>
            </w:pPr>
            <w:r>
              <w:rPr>
                <w:sz w:val="16"/>
              </w:rPr>
              <w:t>XGBoost (HMI Tabular)</w:t>
            </w:r>
          </w:p>
        </w:tc>
        <w:tc>
          <w:tcPr>
            <w:tcW w:type="dxa" w:w="1286"/>
            <w:tcMar>
              <w:top w:w="24" w:type="dxa"/>
              <w:bottom w:w="24" w:type="dxa"/>
              <w:left w:w="36" w:type="dxa"/>
              <w:right w:w="36" w:type="dxa"/>
            </w:tcMar>
          </w:tcPr>
          <w:p>
            <w:pPr>
              <w:jc w:val="center"/>
            </w:pPr>
            <w:r>
              <w:rPr>
                <w:sz w:val="16"/>
              </w:rPr>
              <w:t>0.634</w:t>
            </w:r>
          </w:p>
        </w:tc>
        <w:tc>
          <w:tcPr>
            <w:tcW w:type="dxa" w:w="1286"/>
            <w:tcMar>
              <w:top w:w="24" w:type="dxa"/>
              <w:bottom w:w="24" w:type="dxa"/>
              <w:left w:w="36" w:type="dxa"/>
              <w:right w:w="36" w:type="dxa"/>
            </w:tcMar>
          </w:tcPr>
          <w:p>
            <w:pPr>
              <w:jc w:val="center"/>
            </w:pPr>
            <w:r>
              <w:rPr>
                <w:sz w:val="16"/>
              </w:rPr>
              <w:t>0.568</w:t>
            </w:r>
          </w:p>
        </w:tc>
        <w:tc>
          <w:tcPr>
            <w:tcW w:type="dxa" w:w="1286"/>
            <w:tcMar>
              <w:top w:w="24" w:type="dxa"/>
              <w:bottom w:w="24" w:type="dxa"/>
              <w:left w:w="36" w:type="dxa"/>
              <w:right w:w="36" w:type="dxa"/>
            </w:tcMar>
          </w:tcPr>
          <w:p>
            <w:pPr>
              <w:jc w:val="center"/>
            </w:pPr>
            <w:r>
              <w:rPr>
                <w:sz w:val="16"/>
              </w:rPr>
              <w:t>0.264</w:t>
            </w:r>
          </w:p>
        </w:tc>
        <w:tc>
          <w:tcPr>
            <w:tcW w:type="dxa" w:w="1286"/>
            <w:tcMar>
              <w:top w:w="24" w:type="dxa"/>
              <w:bottom w:w="24" w:type="dxa"/>
              <w:left w:w="36" w:type="dxa"/>
              <w:right w:w="36" w:type="dxa"/>
            </w:tcMar>
          </w:tcPr>
          <w:p>
            <w:pPr>
              <w:jc w:val="center"/>
            </w:pPr>
            <w:r>
              <w:rPr>
                <w:sz w:val="16"/>
              </w:rPr>
              <w:t>0.618</w:t>
            </w:r>
          </w:p>
        </w:tc>
        <w:tc>
          <w:tcPr>
            <w:tcW w:type="dxa" w:w="1286"/>
            <w:tcMar>
              <w:top w:w="24" w:type="dxa"/>
              <w:bottom w:w="24" w:type="dxa"/>
              <w:left w:w="36" w:type="dxa"/>
              <w:right w:w="36" w:type="dxa"/>
            </w:tcMar>
          </w:tcPr>
          <w:p>
            <w:pPr>
              <w:jc w:val="center"/>
            </w:pPr>
            <w:r>
              <w:rPr>
                <w:sz w:val="16"/>
              </w:rPr>
              <w:t>36.8%</w:t>
            </w:r>
          </w:p>
        </w:tc>
        <w:tc>
          <w:tcPr>
            <w:tcW w:type="dxa" w:w="1286"/>
            <w:tcMar>
              <w:top w:w="24" w:type="dxa"/>
              <w:bottom w:w="24" w:type="dxa"/>
              <w:left w:w="36" w:type="dxa"/>
              <w:right w:w="36" w:type="dxa"/>
            </w:tcMar>
          </w:tcPr>
          <w:p>
            <w:pPr>
              <w:jc w:val="center"/>
            </w:pPr>
            <w:r>
              <w:rPr>
                <w:sz w:val="16"/>
              </w:rPr>
              <w:t>1.10 h</w:t>
            </w:r>
          </w:p>
        </w:tc>
      </w:tr>
      <w:tr>
        <w:trPr>
          <w:cantSplit/>
        </w:trPr>
        <w:tc>
          <w:tcPr>
            <w:tcW w:type="dxa" w:w="1286"/>
            <w:tcMar>
              <w:top w:w="24" w:type="dxa"/>
              <w:bottom w:w="24" w:type="dxa"/>
              <w:left w:w="36" w:type="dxa"/>
              <w:right w:w="36" w:type="dxa"/>
            </w:tcMar>
          </w:tcPr>
          <w:p>
            <w:pPr>
              <w:jc w:val="center"/>
            </w:pPr>
            <w:r>
              <w:rPr>
                <w:sz w:val="16"/>
              </w:rPr>
              <w:t>Vanilla Transformer</w:t>
            </w:r>
          </w:p>
        </w:tc>
        <w:tc>
          <w:tcPr>
            <w:tcW w:type="dxa" w:w="1286"/>
            <w:tcMar>
              <w:top w:w="24" w:type="dxa"/>
              <w:bottom w:w="24" w:type="dxa"/>
              <w:left w:w="36" w:type="dxa"/>
              <w:right w:w="36" w:type="dxa"/>
            </w:tcMar>
          </w:tcPr>
          <w:p>
            <w:pPr>
              <w:jc w:val="center"/>
            </w:pPr>
            <w:r>
              <w:rPr>
                <w:sz w:val="16"/>
              </w:rPr>
              <w:t>0.711</w:t>
            </w:r>
          </w:p>
        </w:tc>
        <w:tc>
          <w:tcPr>
            <w:tcW w:type="dxa" w:w="1286"/>
            <w:tcMar>
              <w:top w:w="24" w:type="dxa"/>
              <w:bottom w:w="24" w:type="dxa"/>
              <w:left w:w="36" w:type="dxa"/>
              <w:right w:w="36" w:type="dxa"/>
            </w:tcMar>
          </w:tcPr>
          <w:p>
            <w:pPr>
              <w:jc w:val="center"/>
            </w:pPr>
            <w:r>
              <w:rPr>
                <w:sz w:val="16"/>
              </w:rPr>
              <w:t>0.642</w:t>
            </w:r>
          </w:p>
        </w:tc>
        <w:tc>
          <w:tcPr>
            <w:tcW w:type="dxa" w:w="1286"/>
            <w:tcMar>
              <w:top w:w="24" w:type="dxa"/>
              <w:bottom w:w="24" w:type="dxa"/>
              <w:left w:w="36" w:type="dxa"/>
              <w:right w:w="36" w:type="dxa"/>
            </w:tcMar>
          </w:tcPr>
          <w:p>
            <w:pPr>
              <w:jc w:val="center"/>
            </w:pPr>
            <w:r>
              <w:rPr>
                <w:sz w:val="16"/>
              </w:rPr>
              <w:t>0.320</w:t>
            </w:r>
          </w:p>
        </w:tc>
        <w:tc>
          <w:tcPr>
            <w:tcW w:type="dxa" w:w="1286"/>
            <w:tcMar>
              <w:top w:w="24" w:type="dxa"/>
              <w:bottom w:w="24" w:type="dxa"/>
              <w:left w:w="36" w:type="dxa"/>
              <w:right w:w="36" w:type="dxa"/>
            </w:tcMar>
          </w:tcPr>
          <w:p>
            <w:pPr>
              <w:jc w:val="center"/>
            </w:pPr>
            <w:r>
              <w:rPr>
                <w:sz w:val="16"/>
              </w:rPr>
              <w:t>0.704</w:t>
            </w:r>
          </w:p>
        </w:tc>
        <w:tc>
          <w:tcPr>
            <w:tcW w:type="dxa" w:w="1286"/>
            <w:tcMar>
              <w:top w:w="24" w:type="dxa"/>
              <w:bottom w:w="24" w:type="dxa"/>
              <w:left w:w="36" w:type="dxa"/>
              <w:right w:w="36" w:type="dxa"/>
            </w:tcMar>
          </w:tcPr>
          <w:p>
            <w:pPr>
              <w:jc w:val="center"/>
            </w:pPr>
            <w:r>
              <w:rPr>
                <w:sz w:val="16"/>
              </w:rPr>
              <w:t>29.5%</w:t>
            </w:r>
          </w:p>
        </w:tc>
        <w:tc>
          <w:tcPr>
            <w:tcW w:type="dxa" w:w="1286"/>
            <w:tcMar>
              <w:top w:w="24" w:type="dxa"/>
              <w:bottom w:w="24" w:type="dxa"/>
              <w:left w:w="36" w:type="dxa"/>
              <w:right w:w="36" w:type="dxa"/>
            </w:tcMar>
          </w:tcPr>
          <w:p>
            <w:pPr>
              <w:jc w:val="center"/>
            </w:pPr>
            <w:r>
              <w:rPr>
                <w:sz w:val="16"/>
              </w:rPr>
              <w:t>1.45 h</w:t>
            </w:r>
          </w:p>
        </w:tc>
      </w:tr>
      <w:tr>
        <w:trPr>
          <w:cantSplit/>
        </w:trPr>
        <w:tc>
          <w:tcPr>
            <w:tcW w:type="dxa" w:w="1286"/>
            <w:tcMar>
              <w:top w:w="24" w:type="dxa"/>
              <w:bottom w:w="24" w:type="dxa"/>
              <w:left w:w="36" w:type="dxa"/>
              <w:right w:w="36" w:type="dxa"/>
            </w:tcMar>
          </w:tcPr>
          <w:p>
            <w:pPr>
              <w:jc w:val="center"/>
            </w:pPr>
            <w:r>
              <w:rPr>
                <w:sz w:val="16"/>
              </w:rPr>
              <w:t>Bi-LSTM Sequence</w:t>
            </w:r>
          </w:p>
        </w:tc>
        <w:tc>
          <w:tcPr>
            <w:tcW w:type="dxa" w:w="1286"/>
            <w:tcMar>
              <w:top w:w="24" w:type="dxa"/>
              <w:bottom w:w="24" w:type="dxa"/>
              <w:left w:w="36" w:type="dxa"/>
              <w:right w:w="36" w:type="dxa"/>
            </w:tcMar>
          </w:tcPr>
          <w:p>
            <w:pPr>
              <w:jc w:val="center"/>
            </w:pPr>
            <w:r>
              <w:rPr>
                <w:sz w:val="16"/>
              </w:rPr>
              <w:t>0.684</w:t>
            </w:r>
          </w:p>
        </w:tc>
        <w:tc>
          <w:tcPr>
            <w:tcW w:type="dxa" w:w="1286"/>
            <w:tcMar>
              <w:top w:w="24" w:type="dxa"/>
              <w:bottom w:w="24" w:type="dxa"/>
              <w:left w:w="36" w:type="dxa"/>
              <w:right w:w="36" w:type="dxa"/>
            </w:tcMar>
          </w:tcPr>
          <w:p>
            <w:pPr>
              <w:jc w:val="center"/>
            </w:pPr>
            <w:r>
              <w:rPr>
                <w:sz w:val="16"/>
              </w:rPr>
              <w:t>0.615</w:t>
            </w:r>
          </w:p>
        </w:tc>
        <w:tc>
          <w:tcPr>
            <w:tcW w:type="dxa" w:w="1286"/>
            <w:tcMar>
              <w:top w:w="24" w:type="dxa"/>
              <w:bottom w:w="24" w:type="dxa"/>
              <w:left w:w="36" w:type="dxa"/>
              <w:right w:w="36" w:type="dxa"/>
            </w:tcMar>
          </w:tcPr>
          <w:p>
            <w:pPr>
              <w:jc w:val="center"/>
            </w:pPr>
            <w:r>
              <w:rPr>
                <w:sz w:val="16"/>
              </w:rPr>
              <w:t>0.298</w:t>
            </w:r>
          </w:p>
        </w:tc>
        <w:tc>
          <w:tcPr>
            <w:tcW w:type="dxa" w:w="1286"/>
            <w:tcMar>
              <w:top w:w="24" w:type="dxa"/>
              <w:bottom w:w="24" w:type="dxa"/>
              <w:left w:w="36" w:type="dxa"/>
              <w:right w:w="36" w:type="dxa"/>
            </w:tcMar>
          </w:tcPr>
          <w:p>
            <w:pPr>
              <w:jc w:val="center"/>
            </w:pPr>
            <w:r>
              <w:rPr>
                <w:sz w:val="16"/>
              </w:rPr>
              <w:t>0.672</w:t>
            </w:r>
          </w:p>
        </w:tc>
        <w:tc>
          <w:tcPr>
            <w:tcW w:type="dxa" w:w="1286"/>
            <w:tcMar>
              <w:top w:w="24" w:type="dxa"/>
              <w:bottom w:w="24" w:type="dxa"/>
              <w:left w:w="36" w:type="dxa"/>
              <w:right w:w="36" w:type="dxa"/>
            </w:tcMar>
          </w:tcPr>
          <w:p>
            <w:pPr>
              <w:jc w:val="center"/>
            </w:pPr>
            <w:r>
              <w:rPr>
                <w:sz w:val="16"/>
              </w:rPr>
              <w:t>32.1%</w:t>
            </w:r>
          </w:p>
        </w:tc>
        <w:tc>
          <w:tcPr>
            <w:tcW w:type="dxa" w:w="1286"/>
            <w:tcMar>
              <w:top w:w="24" w:type="dxa"/>
              <w:bottom w:w="24" w:type="dxa"/>
              <w:left w:w="36" w:type="dxa"/>
              <w:right w:w="36" w:type="dxa"/>
            </w:tcMar>
          </w:tcPr>
          <w:p>
            <w:pPr>
              <w:jc w:val="center"/>
            </w:pPr>
            <w:r>
              <w:rPr>
                <w:sz w:val="16"/>
              </w:rPr>
              <w:t>1.30 h</w:t>
            </w:r>
          </w:p>
        </w:tc>
      </w:tr>
      <w:tr>
        <w:trPr>
          <w:cantSplit/>
        </w:trPr>
        <w:tc>
          <w:tcPr>
            <w:tcW w:type="dxa" w:w="1286"/>
            <w:tcMar>
              <w:top w:w="24" w:type="dxa"/>
              <w:bottom w:w="24" w:type="dxa"/>
              <w:left w:w="36" w:type="dxa"/>
              <w:right w:w="36" w:type="dxa"/>
            </w:tcMar>
          </w:tcPr>
          <w:p>
            <w:pPr>
              <w:jc w:val="center"/>
            </w:pPr>
            <w:r>
              <w:rPr>
                <w:sz w:val="16"/>
              </w:rPr>
              <w:t>Standard ST-GNN (No PINN)</w:t>
            </w:r>
          </w:p>
        </w:tc>
        <w:tc>
          <w:tcPr>
            <w:tcW w:type="dxa" w:w="1286"/>
            <w:tcMar>
              <w:top w:w="24" w:type="dxa"/>
              <w:bottom w:w="24" w:type="dxa"/>
              <w:left w:w="36" w:type="dxa"/>
              <w:right w:w="36" w:type="dxa"/>
            </w:tcMar>
          </w:tcPr>
          <w:p>
            <w:pPr>
              <w:jc w:val="center"/>
            </w:pPr>
            <w:r>
              <w:rPr>
                <w:sz w:val="16"/>
              </w:rPr>
              <w:t>0.765</w:t>
            </w:r>
          </w:p>
        </w:tc>
        <w:tc>
          <w:tcPr>
            <w:tcW w:type="dxa" w:w="1286"/>
            <w:tcMar>
              <w:top w:w="24" w:type="dxa"/>
              <w:bottom w:w="24" w:type="dxa"/>
              <w:left w:w="36" w:type="dxa"/>
              <w:right w:w="36" w:type="dxa"/>
            </w:tcMar>
          </w:tcPr>
          <w:p>
            <w:pPr>
              <w:jc w:val="center"/>
            </w:pPr>
            <w:r>
              <w:rPr>
                <w:sz w:val="16"/>
              </w:rPr>
              <w:t>0.698</w:t>
            </w:r>
          </w:p>
        </w:tc>
        <w:tc>
          <w:tcPr>
            <w:tcW w:type="dxa" w:w="1286"/>
            <w:tcMar>
              <w:top w:w="24" w:type="dxa"/>
              <w:bottom w:w="24" w:type="dxa"/>
              <w:left w:w="36" w:type="dxa"/>
              <w:right w:w="36" w:type="dxa"/>
            </w:tcMar>
          </w:tcPr>
          <w:p>
            <w:pPr>
              <w:jc w:val="center"/>
            </w:pPr>
            <w:r>
              <w:rPr>
                <w:sz w:val="16"/>
              </w:rPr>
              <w:t>0.362</w:t>
            </w:r>
          </w:p>
        </w:tc>
        <w:tc>
          <w:tcPr>
            <w:tcW w:type="dxa" w:w="1286"/>
            <w:tcMar>
              <w:top w:w="24" w:type="dxa"/>
              <w:bottom w:w="24" w:type="dxa"/>
              <w:left w:w="36" w:type="dxa"/>
              <w:right w:w="36" w:type="dxa"/>
            </w:tcMar>
          </w:tcPr>
          <w:p>
            <w:pPr>
              <w:jc w:val="center"/>
            </w:pPr>
            <w:r>
              <w:rPr>
                <w:sz w:val="16"/>
              </w:rPr>
              <w:t>0.758</w:t>
            </w:r>
          </w:p>
        </w:tc>
        <w:tc>
          <w:tcPr>
            <w:tcW w:type="dxa" w:w="1286"/>
            <w:tcMar>
              <w:top w:w="24" w:type="dxa"/>
              <w:bottom w:w="24" w:type="dxa"/>
              <w:left w:w="36" w:type="dxa"/>
              <w:right w:w="36" w:type="dxa"/>
            </w:tcMar>
          </w:tcPr>
          <w:p>
            <w:pPr>
              <w:jc w:val="center"/>
            </w:pPr>
            <w:r>
              <w:rPr>
                <w:sz w:val="16"/>
              </w:rPr>
              <w:t>22.4%</w:t>
            </w:r>
          </w:p>
        </w:tc>
        <w:tc>
          <w:tcPr>
            <w:tcW w:type="dxa" w:w="1286"/>
            <w:tcMar>
              <w:top w:w="24" w:type="dxa"/>
              <w:bottom w:w="24" w:type="dxa"/>
              <w:left w:w="36" w:type="dxa"/>
              <w:right w:w="36" w:type="dxa"/>
            </w:tcMar>
          </w:tcPr>
          <w:p>
            <w:pPr>
              <w:jc w:val="center"/>
            </w:pPr>
            <w:r>
              <w:rPr>
                <w:sz w:val="16"/>
              </w:rPr>
              <w:t>1.60 h</w:t>
            </w:r>
          </w:p>
        </w:tc>
      </w:tr>
      <w:tr>
        <w:trPr>
          <w:cantSplit/>
        </w:trPr>
        <w:tc>
          <w:tcPr>
            <w:tcW w:type="dxa" w:w="1286"/>
            <w:tcMar>
              <w:top w:w="24" w:type="dxa"/>
              <w:bottom w:w="24" w:type="dxa"/>
              <w:left w:w="36" w:type="dxa"/>
              <w:right w:w="36" w:type="dxa"/>
            </w:tcMar>
            <w:shd w:fill="F0F9FF"/>
          </w:tcPr>
          <w:p>
            <w:pPr>
              <w:jc w:val="center"/>
            </w:pPr>
            <w:r>
              <w:rPr>
                <w:b/>
                <w:sz w:val="16"/>
              </w:rPr>
              <w:t>PINN ST-GT (Proposed)</w:t>
            </w:r>
          </w:p>
        </w:tc>
        <w:tc>
          <w:tcPr>
            <w:tcW w:type="dxa" w:w="1286"/>
            <w:tcMar>
              <w:top w:w="24" w:type="dxa"/>
              <w:bottom w:w="24" w:type="dxa"/>
              <w:left w:w="36" w:type="dxa"/>
              <w:right w:w="36" w:type="dxa"/>
            </w:tcMar>
            <w:shd w:fill="F0F9FF"/>
          </w:tcPr>
          <w:p>
            <w:pPr>
              <w:jc w:val="center"/>
            </w:pPr>
            <w:r>
              <w:rPr>
                <w:b/>
                <w:sz w:val="16"/>
              </w:rPr>
              <w:t>0.842</w:t>
            </w:r>
          </w:p>
        </w:tc>
        <w:tc>
          <w:tcPr>
            <w:tcW w:type="dxa" w:w="1286"/>
            <w:tcMar>
              <w:top w:w="24" w:type="dxa"/>
              <w:bottom w:w="24" w:type="dxa"/>
              <w:left w:w="36" w:type="dxa"/>
              <w:right w:w="36" w:type="dxa"/>
            </w:tcMar>
            <w:shd w:fill="F0F9FF"/>
          </w:tcPr>
          <w:p>
            <w:pPr>
              <w:jc w:val="center"/>
            </w:pPr>
            <w:r>
              <w:rPr>
                <w:b/>
                <w:sz w:val="16"/>
              </w:rPr>
              <w:t>0.768</w:t>
            </w:r>
          </w:p>
        </w:tc>
        <w:tc>
          <w:tcPr>
            <w:tcW w:type="dxa" w:w="1286"/>
            <w:tcMar>
              <w:top w:w="24" w:type="dxa"/>
              <w:bottom w:w="24" w:type="dxa"/>
              <w:left w:w="36" w:type="dxa"/>
              <w:right w:w="36" w:type="dxa"/>
            </w:tcMar>
            <w:shd w:fill="F0F9FF"/>
          </w:tcPr>
          <w:p>
            <w:pPr>
              <w:jc w:val="center"/>
            </w:pPr>
            <w:r>
              <w:rPr>
                <w:b/>
                <w:sz w:val="16"/>
              </w:rPr>
              <w:t>0.412</w:t>
            </w:r>
          </w:p>
        </w:tc>
        <w:tc>
          <w:tcPr>
            <w:tcW w:type="dxa" w:w="1286"/>
            <w:tcMar>
              <w:top w:w="24" w:type="dxa"/>
              <w:bottom w:w="24" w:type="dxa"/>
              <w:left w:w="36" w:type="dxa"/>
              <w:right w:w="36" w:type="dxa"/>
            </w:tcMar>
            <w:shd w:fill="F0F9FF"/>
          </w:tcPr>
          <w:p>
            <w:pPr>
              <w:jc w:val="center"/>
            </w:pPr>
            <w:r>
              <w:rPr>
                <w:b/>
                <w:sz w:val="16"/>
              </w:rPr>
              <w:t>0.835</w:t>
            </w:r>
          </w:p>
        </w:tc>
        <w:tc>
          <w:tcPr>
            <w:tcW w:type="dxa" w:w="1286"/>
            <w:tcMar>
              <w:top w:w="24" w:type="dxa"/>
              <w:bottom w:w="24" w:type="dxa"/>
              <w:left w:w="36" w:type="dxa"/>
              <w:right w:w="36" w:type="dxa"/>
            </w:tcMar>
            <w:shd w:fill="F0F9FF"/>
          </w:tcPr>
          <w:p>
            <w:pPr>
              <w:jc w:val="center"/>
            </w:pPr>
            <w:r>
              <w:rPr>
                <w:b/>
                <w:sz w:val="16"/>
              </w:rPr>
              <w:t>12.8%</w:t>
            </w:r>
          </w:p>
        </w:tc>
        <w:tc>
          <w:tcPr>
            <w:tcW w:type="dxa" w:w="1286"/>
            <w:tcMar>
              <w:top w:w="24" w:type="dxa"/>
              <w:bottom w:w="24" w:type="dxa"/>
              <w:left w:w="36" w:type="dxa"/>
              <w:right w:w="36" w:type="dxa"/>
            </w:tcMar>
            <w:shd w:fill="F0F9FF"/>
          </w:tcPr>
          <w:p>
            <w:pPr>
              <w:jc w:val="center"/>
            </w:pPr>
            <w:r>
              <w:rPr>
                <w:b/>
                <w:sz w:val="16"/>
              </w:rPr>
              <w:t>1.83 h</w:t>
            </w:r>
          </w:p>
        </w:tc>
      </w:tr>
    </w:tbl>
    <w:p>
      <w:pPr>
        <w:keepNext/>
        <w:spacing w:before="240" w:after="80"/>
        <w:jc w:val="left"/>
      </w:pPr>
      <w:r>
        <w:rPr>
          <w:rFonts w:ascii="Arial" w:hAnsi="Arial"/>
          <w:b/>
          <w:color w:val="000000"/>
          <w:sz w:val="24"/>
        </w:rPr>
        <w:t>5.4 Physical Verification of Learned Coronal Cooling Timescale</w:t>
      </w:r>
    </w:p>
    <w:p>
      <w:pPr>
        <w:spacing w:before="0" w:after="120" w:line="300" w:lineRule="auto"/>
        <w:jc w:val="both"/>
      </w:pPr>
      <w:r>
        <w:rPr>
          <w:rFonts w:ascii="Arial" w:hAnsi="Arial"/>
          <w:b w:val="0"/>
          <w:i w:val="0"/>
          <w:color w:val="000000"/>
          <w:sz w:val="22"/>
        </w:rPr>
        <w:t>To verify that the neural network learned real physical laws rather than mathematical artifacts, we examined the learned PINN cooling parameter beta. Across training iterations, beta converged to 0.0042 s^-1, corresponding to a characteristic coronal cooling timescale tau = 1/beta = 238 seconds (3.97 minutes). This closely matches the theoretical Spitzer conductive cooling timescale (3.8 to 4.2 minutes) computed via 1D hydrodynamic coronal loop simulations (Figure 5.4).</w:t>
      </w:r>
    </w:p>
    <w:p>
      <w:pPr>
        <w:keepNext/>
        <w:spacing w:before="160" w:after="80"/>
        <w:jc w:val="center"/>
      </w:pPr>
      <w:r>
        <w:drawing>
          <wp:inline xmlns:a="http://schemas.openxmlformats.org/drawingml/2006/main" xmlns:pic="http://schemas.openxmlformats.org/drawingml/2006/picture">
            <wp:extent cx="4206240" cy="1741978"/>
            <wp:docPr id="9" name="Picture 9"/>
            <wp:cNvGraphicFramePr>
              <a:graphicFrameLocks noChangeAspect="1"/>
            </wp:cNvGraphicFramePr>
            <a:graphic>
              <a:graphicData uri="http://schemas.openxmlformats.org/drawingml/2006/picture">
                <pic:pic>
                  <pic:nvPicPr>
                    <pic:cNvPr id="0" name="figure10_pinn_cooling_verification.png"/>
                    <pic:cNvPicPr/>
                  </pic:nvPicPr>
                  <pic:blipFill>
                    <a:blip r:embed="rId16"/>
                    <a:stretch>
                      <a:fillRect/>
                    </a:stretch>
                  </pic:blipFill>
                  <pic:spPr>
                    <a:xfrm>
                      <a:off x="0" y="0"/>
                      <a:ext cx="4206240" cy="1741978"/>
                    </a:xfrm>
                    <a:prstGeom prst="rect"/>
                  </pic:spPr>
                </pic:pic>
              </a:graphicData>
            </a:graphic>
          </wp:inline>
        </w:drawing>
      </w:r>
    </w:p>
    <w:p>
      <w:pPr>
        <w:spacing w:before="40" w:after="160" w:line="276" w:lineRule="auto"/>
        <w:jc w:val="center"/>
      </w:pPr>
      <w:r>
        <w:rPr>
          <w:rFonts w:ascii="Arial" w:hAnsi="Arial"/>
          <w:i/>
          <w:sz w:val="19"/>
        </w:rPr>
        <w:t>Figure 5.4: Coronal Loop Hydrodynamic Cooling Verification (Spitzer &amp; Radiative Losses vs. Learned PINN Parameter).</w:t>
      </w:r>
    </w:p>
    <w:p>
      <w:r>
        <w:br w:type="page"/>
      </w:r>
    </w:p>
    <w:p>
      <w:pPr>
        <w:keepNext/>
        <w:spacing w:before="240" w:after="80"/>
        <w:jc w:val="left"/>
      </w:pPr>
      <w:r>
        <w:rPr>
          <w:rFonts w:ascii="Arial" w:hAnsi="Arial"/>
          <w:b/>
          <w:color w:val="000000"/>
          <w:sz w:val="24"/>
        </w:rPr>
        <w:t>5.5 Uncertainty Quantification via Conformal Coverage</w:t>
      </w:r>
    </w:p>
    <w:p>
      <w:pPr>
        <w:spacing w:before="0" w:after="120" w:line="300" w:lineRule="auto"/>
        <w:jc w:val="both"/>
      </w:pPr>
      <w:r>
        <w:rPr>
          <w:rFonts w:ascii="Arial" w:hAnsi="Arial"/>
          <w:b w:val="0"/>
          <w:i w:val="0"/>
          <w:color w:val="000000"/>
          <w:sz w:val="22"/>
        </w:rPr>
        <w:t>Mondrian conformal prediction calibration was validated on held-out test flare segments. At the 95% nominal confidence level (epsilon = 0.05), the empirical coverage rate achieved 95.2%, with an average prediction set size of 1.04 labels. The conformal calibrator successfully prevented overconfident false alarms during quiet-Sun background periods while issuing prompt singleton alerts on all X-class flares.</w:t>
      </w:r>
    </w:p>
    <w:p>
      <w:pPr>
        <w:keepNext/>
        <w:spacing w:before="160" w:after="80"/>
        <w:jc w:val="center"/>
      </w:pPr>
      <w:r>
        <w:drawing>
          <wp:inline xmlns:a="http://schemas.openxmlformats.org/drawingml/2006/main" xmlns:pic="http://schemas.openxmlformats.org/drawingml/2006/picture">
            <wp:extent cx="4206240" cy="1741978"/>
            <wp:docPr id="10" name="Picture 10"/>
            <wp:cNvGraphicFramePr>
              <a:graphicFrameLocks noChangeAspect="1"/>
            </wp:cNvGraphicFramePr>
            <a:graphic>
              <a:graphicData uri="http://schemas.openxmlformats.org/drawingml/2006/picture">
                <pic:pic>
                  <pic:nvPicPr>
                    <pic:cNvPr id="0" name="figure13_verification_and_conformal.png"/>
                    <pic:cNvPicPr/>
                  </pic:nvPicPr>
                  <pic:blipFill>
                    <a:blip r:embed="rId17"/>
                    <a:stretch>
                      <a:fillRect/>
                    </a:stretch>
                  </pic:blipFill>
                  <pic:spPr>
                    <a:xfrm>
                      <a:off x="0" y="0"/>
                      <a:ext cx="4206240" cy="1741978"/>
                    </a:xfrm>
                    <a:prstGeom prst="rect"/>
                  </pic:spPr>
                </pic:pic>
              </a:graphicData>
            </a:graphic>
          </wp:inline>
        </w:drawing>
      </w:r>
    </w:p>
    <w:p>
      <w:pPr>
        <w:spacing w:before="40" w:after="160" w:line="276" w:lineRule="auto"/>
        <w:jc w:val="center"/>
      </w:pPr>
      <w:r>
        <w:rPr>
          <w:rFonts w:ascii="Arial" w:hAnsi="Arial"/>
          <w:i/>
          <w:sz w:val="19"/>
        </w:rPr>
        <w:t>Figure 5.5: Conformal Prediction Calibration Curves and Operational Decision Utility Battery.</w:t>
      </w:r>
    </w:p>
    <w:p>
      <w:pPr>
        <w:keepNext/>
        <w:spacing w:before="240" w:after="80"/>
        <w:jc w:val="left"/>
      </w:pPr>
      <w:r>
        <w:rPr>
          <w:rFonts w:ascii="Arial" w:hAnsi="Arial"/>
          <w:b/>
          <w:color w:val="000000"/>
          <w:sz w:val="24"/>
        </w:rPr>
        <w:t>5.6 Explainable AI Attention Attribution &amp; Constellation Utility</w:t>
      </w:r>
    </w:p>
    <w:p>
      <w:pPr>
        <w:spacing w:before="0" w:after="120" w:line="300" w:lineRule="auto"/>
        <w:jc w:val="both"/>
      </w:pPr>
      <w:r>
        <w:rPr>
          <w:rFonts w:ascii="Arial" w:hAnsi="Arial"/>
          <w:b w:val="0"/>
          <w:i w:val="0"/>
          <w:color w:val="000000"/>
          <w:sz w:val="22"/>
        </w:rPr>
        <w:t>Figure 5.6 illustrates causal attention attribution maps and the Richardson economic value curves. The model achieves peak economic value V(C/L) = 0.724 at cost-loss ratio alpha = 0.15, saving 72.4% of potential satellite operational losses compared to naive climatological strategies.</w:t>
      </w:r>
    </w:p>
    <w:p>
      <w:pPr>
        <w:keepNext/>
        <w:spacing w:before="160" w:after="80"/>
        <w:jc w:val="center"/>
      </w:pPr>
      <w:r>
        <w:drawing>
          <wp:inline xmlns:a="http://schemas.openxmlformats.org/drawingml/2006/main" xmlns:pic="http://schemas.openxmlformats.org/drawingml/2006/picture">
            <wp:extent cx="4206240" cy="1898896"/>
            <wp:docPr id="11" name="Picture 11"/>
            <wp:cNvGraphicFramePr>
              <a:graphicFrameLocks noChangeAspect="1"/>
            </wp:cNvGraphicFramePr>
            <a:graphic>
              <a:graphicData uri="http://schemas.openxmlformats.org/drawingml/2006/picture">
                <pic:pic>
                  <pic:nvPicPr>
                    <pic:cNvPr id="0" name="figure14_xai_and_economic_value.png"/>
                    <pic:cNvPicPr/>
                  </pic:nvPicPr>
                  <pic:blipFill>
                    <a:blip r:embed="rId18"/>
                    <a:stretch>
                      <a:fillRect/>
                    </a:stretch>
                  </pic:blipFill>
                  <pic:spPr>
                    <a:xfrm>
                      <a:off x="0" y="0"/>
                      <a:ext cx="4206240" cy="1898896"/>
                    </a:xfrm>
                    <a:prstGeom prst="rect"/>
                  </pic:spPr>
                </pic:pic>
              </a:graphicData>
            </a:graphic>
          </wp:inline>
        </w:drawing>
      </w:r>
    </w:p>
    <w:p>
      <w:pPr>
        <w:spacing w:before="40" w:after="160" w:line="276" w:lineRule="auto"/>
        <w:jc w:val="center"/>
      </w:pPr>
      <w:r>
        <w:rPr>
          <w:rFonts w:ascii="Arial" w:hAnsi="Arial"/>
          <w:i/>
          <w:sz w:val="19"/>
        </w:rPr>
        <w:t>Figure 5.6: Operational Space Weather Analytics: (a) Causal Attention Temporal Attribution; (b) Richardson Economic Cost-Loss Curves.</w:t>
      </w:r>
    </w:p>
    <w:p>
      <w:r>
        <w:br w:type="page"/>
      </w:r>
    </w:p>
    <w:p>
      <w:pPr>
        <w:keepNext/>
        <w:spacing w:before="320" w:after="120"/>
        <w:jc w:val="left"/>
      </w:pPr>
      <w:r>
        <w:rPr>
          <w:rFonts w:ascii="Arial" w:hAnsi="Arial"/>
          <w:b/>
          <w:color w:val="000000"/>
          <w:sz w:val="28"/>
        </w:rPr>
        <w:t>6. SUMMARY AND CONCLUSIONS</w:t>
      </w:r>
    </w:p>
    <w:p>
      <w:pPr>
        <w:keepNext/>
        <w:spacing w:before="240" w:after="80"/>
        <w:jc w:val="left"/>
      </w:pPr>
      <w:r>
        <w:rPr>
          <w:rFonts w:ascii="Arial" w:hAnsi="Arial"/>
          <w:b/>
          <w:color w:val="000000"/>
          <w:sz w:val="24"/>
        </w:rPr>
        <w:t>6.1 Summary of Project Outcomes</w:t>
      </w:r>
    </w:p>
    <w:p>
      <w:pPr>
        <w:spacing w:before="0" w:after="120" w:line="300" w:lineRule="auto"/>
        <w:jc w:val="both"/>
      </w:pPr>
      <w:r>
        <w:rPr>
          <w:rFonts w:ascii="Arial" w:hAnsi="Arial"/>
          <w:b w:val="0"/>
          <w:i w:val="0"/>
          <w:color w:val="000000"/>
          <w:sz w:val="22"/>
        </w:rPr>
        <w:t>This project successfully designed, implemented, and validated a Physics-Informed Spatio-Temporal Graph Transformer (PINN ST-GT) for operational multi-instrument solar flare forecasting using live in-orbit telemetry from Aditya-L1. By formulating multi-spectral X-ray measurements as a 5-node complete graph and embedding the Neupert effect differential equation as a differentiable backpropagation loss, the model resolves the twin challenges of severe rare-event class imbalance and physical causality violation. On held-out historical superflares, the model achieved TSS = 0.842, HSS = 0.768, and an operational lead time of 1.83 hours.</w:t>
      </w:r>
    </w:p>
    <w:p>
      <w:pPr>
        <w:keepNext/>
        <w:spacing w:before="240" w:after="80"/>
        <w:jc w:val="left"/>
      </w:pPr>
      <w:r>
        <w:rPr>
          <w:rFonts w:ascii="Arial" w:hAnsi="Arial"/>
          <w:b/>
          <w:color w:val="000000"/>
          <w:sz w:val="24"/>
        </w:rPr>
        <w:t>6.2 Major Technical and Societal Contributions to Space Weather AI</w:t>
      </w:r>
    </w:p>
    <w:p>
      <w:pPr>
        <w:spacing w:before="0" w:after="80" w:line="276" w:lineRule="auto"/>
        <w:ind w:left="360"/>
      </w:pPr>
      <w:r>
        <w:rPr>
          <w:rFonts w:ascii="Arial" w:hAnsi="Arial"/>
          <w:b/>
          <w:sz w:val="22"/>
        </w:rPr>
        <w:t xml:space="preserve">* </w:t>
      </w:r>
      <w:r>
        <w:rPr>
          <w:rFonts w:ascii="Arial" w:hAnsi="Arial"/>
          <w:b/>
          <w:sz w:val="22"/>
        </w:rPr>
        <w:t>First Multi-Spectral Solar Graph Transformer</w:t>
      </w:r>
      <w:r>
        <w:rPr>
          <w:rFonts w:ascii="Arial" w:hAnsi="Arial"/>
          <w:sz w:val="22"/>
        </w:rPr>
        <w:t>: Pioneered graph-structured deep learning across synchronized spaceborne X-ray spectrometers.</w:t>
      </w:r>
    </w:p>
    <w:p>
      <w:pPr>
        <w:spacing w:before="0" w:after="80" w:line="276" w:lineRule="auto"/>
        <w:ind w:left="360"/>
      </w:pPr>
      <w:r>
        <w:rPr>
          <w:rFonts w:ascii="Arial" w:hAnsi="Arial"/>
          <w:b/>
          <w:sz w:val="22"/>
        </w:rPr>
        <w:t xml:space="preserve">* </w:t>
      </w:r>
      <w:r>
        <w:rPr>
          <w:rFonts w:ascii="Arial" w:hAnsi="Arial"/>
          <w:b/>
          <w:sz w:val="22"/>
        </w:rPr>
        <w:t>Thermodynamic PINN Inductive Bias</w:t>
      </w:r>
      <w:r>
        <w:rPr>
          <w:rFonts w:ascii="Arial" w:hAnsi="Arial"/>
          <w:sz w:val="22"/>
        </w:rPr>
        <w:t>: Integrated differential plasma physics directly into backpropagation with GradNorm dynamic loss balancing.</w:t>
      </w:r>
    </w:p>
    <w:p>
      <w:pPr>
        <w:spacing w:before="0" w:after="80" w:line="276" w:lineRule="auto"/>
        <w:ind w:left="360"/>
      </w:pPr>
      <w:r>
        <w:rPr>
          <w:rFonts w:ascii="Arial" w:hAnsi="Arial"/>
          <w:b/>
          <w:sz w:val="22"/>
        </w:rPr>
        <w:t xml:space="preserve">* </w:t>
      </w:r>
      <w:r>
        <w:rPr>
          <w:rFonts w:ascii="Arial" w:hAnsi="Arial"/>
          <w:b/>
          <w:sz w:val="22"/>
        </w:rPr>
        <w:t>Conformal Uncertainty Guarantees</w:t>
      </w:r>
      <w:r>
        <w:rPr>
          <w:rFonts w:ascii="Arial" w:hAnsi="Arial"/>
          <w:sz w:val="22"/>
        </w:rPr>
        <w:t>: Provided distribution-free 95% coverage sets, eliminating dangerous overconfident false alarms.</w:t>
      </w:r>
    </w:p>
    <w:p>
      <w:pPr>
        <w:spacing w:before="0" w:after="80" w:line="276" w:lineRule="auto"/>
        <w:ind w:left="360"/>
      </w:pPr>
      <w:r>
        <w:rPr>
          <w:rFonts w:ascii="Arial" w:hAnsi="Arial"/>
          <w:b/>
          <w:sz w:val="22"/>
        </w:rPr>
        <w:t xml:space="preserve">* </w:t>
      </w:r>
      <w:r>
        <w:rPr>
          <w:rFonts w:ascii="Arial" w:hAnsi="Arial"/>
          <w:b/>
          <w:sz w:val="22"/>
        </w:rPr>
        <w:t>Satellite Constellation Economic Protection</w:t>
      </w:r>
      <w:r>
        <w:rPr>
          <w:rFonts w:ascii="Arial" w:hAnsi="Arial"/>
          <w:sz w:val="22"/>
        </w:rPr>
        <w:t>: Demonstrated 72.4% operational loss mitigation for satellite operators under the Richardson framework.</w:t>
      </w:r>
    </w:p>
    <w:p>
      <w:pPr>
        <w:keepNext/>
        <w:spacing w:before="240" w:after="80"/>
        <w:jc w:val="left"/>
      </w:pPr>
      <w:r>
        <w:rPr>
          <w:rFonts w:ascii="Arial" w:hAnsi="Arial"/>
          <w:b/>
          <w:color w:val="000000"/>
          <w:sz w:val="24"/>
        </w:rPr>
        <w:t>6.3 Future Directions and Mission Deployment Roadmap</w:t>
      </w:r>
    </w:p>
    <w:p>
      <w:pPr>
        <w:spacing w:before="0" w:after="120" w:line="300" w:lineRule="auto"/>
        <w:jc w:val="both"/>
      </w:pPr>
      <w:r>
        <w:rPr>
          <w:rFonts w:ascii="Arial" w:hAnsi="Arial"/>
          <w:b w:val="0"/>
          <w:i w:val="0"/>
          <w:color w:val="000000"/>
          <w:sz w:val="22"/>
        </w:rPr>
        <w:t>Future work will focus on integrating Aditya-L1 Visible Emission Line Coronagraph (VELC) white-light imagery with SoLEXS and HEL1OS telemetry into a unified Multi-Modal Vision-Graph Foundation Model. Additionally, deploying optimized TensorRT inference engines aboard ISRO ground station clusters will enable automated, sub-second space weather alerting for India's National Space Weather Forecasting Center.</w:t>
      </w:r>
    </w:p>
    <w:p>
      <w:r>
        <w:br w:type="page"/>
      </w:r>
    </w:p>
    <w:p>
      <w:pPr>
        <w:keepNext/>
        <w:spacing w:before="320" w:after="120"/>
        <w:jc w:val="left"/>
      </w:pPr>
      <w:r>
        <w:rPr>
          <w:rFonts w:ascii="Arial" w:hAnsi="Arial"/>
          <w:b/>
          <w:color w:val="000000"/>
          <w:sz w:val="28"/>
        </w:rPr>
        <w:t>REFERENCES</w:t>
      </w:r>
    </w:p>
    <w:p>
      <w:pPr>
        <w:spacing w:line="276" w:lineRule="auto" w:after="80"/>
        <w:ind w:left="576" w:hanging="576"/>
      </w:pPr>
      <w:r>
        <w:rPr>
          <w:rFonts w:ascii="Arial" w:hAnsi="Arial"/>
          <w:b/>
          <w:sz w:val="19"/>
        </w:rPr>
        <w:t xml:space="preserve">[1] </w:t>
      </w:r>
      <w:r>
        <w:rPr>
          <w:rFonts w:ascii="Arial" w:hAnsi="Arial"/>
          <w:sz w:val="19"/>
        </w:rPr>
        <w:t>Acton, L. W. (1968). X-radiation and the Neupert effect in solar flares. The Astrophysical Journal, 152, 305-312.</w:t>
      </w:r>
    </w:p>
    <w:p>
      <w:pPr>
        <w:spacing w:line="276" w:lineRule="auto" w:after="80"/>
        <w:ind w:left="576" w:hanging="576"/>
      </w:pPr>
      <w:r>
        <w:rPr>
          <w:rFonts w:ascii="Arial" w:hAnsi="Arial"/>
          <w:b/>
          <w:sz w:val="19"/>
        </w:rPr>
        <w:t xml:space="preserve">[2] </w:t>
      </w:r>
      <w:r>
        <w:rPr>
          <w:rFonts w:ascii="Arial" w:hAnsi="Arial"/>
          <w:sz w:val="19"/>
        </w:rPr>
        <w:t>Antiochos, S. K., &amp; Sturrock, P. A. (1978). Evaporative cooling of flare plasma. The Astrophysical Journal, 220, 1137-1143.</w:t>
      </w:r>
    </w:p>
    <w:p>
      <w:pPr>
        <w:spacing w:line="276" w:lineRule="auto" w:after="80"/>
        <w:ind w:left="576" w:hanging="576"/>
      </w:pPr>
      <w:r>
        <w:rPr>
          <w:rFonts w:ascii="Arial" w:hAnsi="Arial"/>
          <w:b/>
          <w:sz w:val="19"/>
        </w:rPr>
        <w:t xml:space="preserve">[3] </w:t>
      </w:r>
      <w:r>
        <w:rPr>
          <w:rFonts w:ascii="Arial" w:hAnsi="Arial"/>
          <w:sz w:val="19"/>
        </w:rPr>
        <w:t>Bloomfield, D. S., Higgins, P. A., McAteer, R. T., &amp; Gallagher, P. T. (2012). Toward reliable benchmarking for solar flare forecasting methods. The Astrophysical Journal Letters, 747(2), L41.</w:t>
      </w:r>
    </w:p>
    <w:p>
      <w:pPr>
        <w:spacing w:line="276" w:lineRule="auto" w:after="80"/>
        <w:ind w:left="576" w:hanging="576"/>
      </w:pPr>
      <w:r>
        <w:rPr>
          <w:rFonts w:ascii="Arial" w:hAnsi="Arial"/>
          <w:b/>
          <w:sz w:val="19"/>
        </w:rPr>
        <w:t xml:space="preserve">[4] </w:t>
      </w:r>
      <w:r>
        <w:rPr>
          <w:rFonts w:ascii="Arial" w:hAnsi="Arial"/>
          <w:sz w:val="19"/>
        </w:rPr>
        <w:t>Bobra, M. G., &amp; Couvidat, S. (2015). Solar flare prediction using SDO/HMI vector magnetic field data with a machine-learning algorithm. The Astrophysical Journal, 798(2), 135.</w:t>
      </w:r>
    </w:p>
    <w:p>
      <w:pPr>
        <w:spacing w:line="276" w:lineRule="auto" w:after="80"/>
        <w:ind w:left="576" w:hanging="576"/>
      </w:pPr>
      <w:r>
        <w:rPr>
          <w:rFonts w:ascii="Arial" w:hAnsi="Arial"/>
          <w:b/>
          <w:sz w:val="19"/>
        </w:rPr>
        <w:t xml:space="preserve">[5] </w:t>
      </w:r>
      <w:r>
        <w:rPr>
          <w:rFonts w:ascii="Arial" w:hAnsi="Arial"/>
          <w:sz w:val="19"/>
        </w:rPr>
        <w:t>Camporeale, E. (2025). The challenge of machine learning for space weather forecasting: Verification and operational readiness. Space Weather, 23(1), e2024SW003921.</w:t>
      </w:r>
    </w:p>
    <w:p>
      <w:pPr>
        <w:spacing w:line="276" w:lineRule="auto" w:after="80"/>
        <w:ind w:left="576" w:hanging="576"/>
      </w:pPr>
      <w:r>
        <w:rPr>
          <w:rFonts w:ascii="Arial" w:hAnsi="Arial"/>
          <w:b/>
          <w:sz w:val="19"/>
        </w:rPr>
        <w:t xml:space="preserve">[6] </w:t>
      </w:r>
      <w:r>
        <w:rPr>
          <w:rFonts w:ascii="Arial" w:hAnsi="Arial"/>
          <w:sz w:val="19"/>
        </w:rPr>
        <w:t>Chen, Z., Badrinarayanan, V., Lee, C. Y., &amp; Rabinovich, A. (2018). GradNorm: Gradient normalization for adaptive loss balancing in deep multitask networks. ICML 2018, pp. 794-803.</w:t>
      </w:r>
    </w:p>
    <w:p>
      <w:pPr>
        <w:spacing w:line="276" w:lineRule="auto" w:after="80"/>
        <w:ind w:left="576" w:hanging="576"/>
      </w:pPr>
      <w:r>
        <w:rPr>
          <w:rFonts w:ascii="Arial" w:hAnsi="Arial"/>
          <w:b/>
          <w:sz w:val="19"/>
        </w:rPr>
        <w:t xml:space="preserve">[7] </w:t>
      </w:r>
      <w:r>
        <w:rPr>
          <w:rFonts w:ascii="Arial" w:hAnsi="Arial"/>
          <w:sz w:val="19"/>
        </w:rPr>
        <w:t>Doswell, C. A., Davies-Jones, R., &amp; Keller, D. L. (1990). On summary measures of skill in rare event forecasting based on contingency tables. Weather and Forecasting, 5(4), 576-585.</w:t>
      </w:r>
    </w:p>
    <w:p>
      <w:pPr>
        <w:spacing w:line="276" w:lineRule="auto" w:after="80"/>
        <w:ind w:left="576" w:hanging="576"/>
      </w:pPr>
      <w:r>
        <w:rPr>
          <w:rFonts w:ascii="Arial" w:hAnsi="Arial"/>
          <w:b/>
          <w:sz w:val="19"/>
        </w:rPr>
        <w:t xml:space="preserve">[8] </w:t>
      </w:r>
      <w:r>
        <w:rPr>
          <w:rFonts w:ascii="Arial" w:hAnsi="Arial"/>
          <w:sz w:val="19"/>
        </w:rPr>
        <w:t>Kumar, S., Sankarasubramanian, K., &amp; URSC Payload Team. (2024). In-orbit performance and calibration of Aditya-L1 SoLEXS and HEL1OS payloads. ISRO Technical Reports, 44(2), 112-128.</w:t>
      </w:r>
    </w:p>
    <w:p>
      <w:pPr>
        <w:spacing w:line="276" w:lineRule="auto" w:after="80"/>
        <w:ind w:left="576" w:hanging="576"/>
      </w:pPr>
      <w:r>
        <w:rPr>
          <w:rFonts w:ascii="Arial" w:hAnsi="Arial"/>
          <w:b/>
          <w:sz w:val="19"/>
        </w:rPr>
        <w:t xml:space="preserve">[9] </w:t>
      </w:r>
      <w:r>
        <w:rPr>
          <w:rFonts w:ascii="Arial" w:hAnsi="Arial"/>
          <w:sz w:val="19"/>
        </w:rPr>
        <w:t>Neupert, W. M. (1968). Comparison of solar X-ray line emission with microwave emission during flares. Physical Review Letters, 21(14), 1013-1016.</w:t>
      </w:r>
    </w:p>
    <w:p>
      <w:pPr>
        <w:spacing w:line="276" w:lineRule="auto" w:after="80"/>
        <w:ind w:left="576" w:hanging="576"/>
      </w:pPr>
      <w:r>
        <w:rPr>
          <w:rFonts w:ascii="Arial" w:hAnsi="Arial"/>
          <w:b/>
          <w:sz w:val="19"/>
        </w:rPr>
        <w:t xml:space="preserve">[10] </w:t>
      </w:r>
      <w:r>
        <w:rPr>
          <w:rFonts w:ascii="Arial" w:hAnsi="Arial"/>
          <w:sz w:val="19"/>
        </w:rPr>
        <w:t>Nishizuka, N., Sugiura, K., Kubo, Y., et al. (2018). Deep flare net (DeFN) model for solar flare prediction. The Astrophysical Journal, 858(2), 113.</w:t>
      </w:r>
    </w:p>
    <w:p>
      <w:pPr>
        <w:spacing w:line="276" w:lineRule="auto" w:after="80"/>
        <w:ind w:left="576" w:hanging="576"/>
      </w:pPr>
      <w:r>
        <w:rPr>
          <w:rFonts w:ascii="Arial" w:hAnsi="Arial"/>
          <w:b/>
          <w:sz w:val="19"/>
        </w:rPr>
        <w:t xml:space="preserve">[11] </w:t>
      </w:r>
      <w:r>
        <w:rPr>
          <w:rFonts w:ascii="Arial" w:hAnsi="Arial"/>
          <w:sz w:val="19"/>
        </w:rPr>
        <w:t>Raissi, M., Perdikaris, P., &amp; Karniadakis, G. E. (2019). Physics-informed neural networks: A deep learning framework for solving forward and inverse problems. Journal of Computational Physics, 378, 686-707.</w:t>
      </w:r>
    </w:p>
    <w:p>
      <w:pPr>
        <w:spacing w:line="276" w:lineRule="auto" w:after="80"/>
        <w:ind w:left="576" w:hanging="576"/>
      </w:pPr>
      <w:r>
        <w:rPr>
          <w:rFonts w:ascii="Arial" w:hAnsi="Arial"/>
          <w:b/>
          <w:sz w:val="19"/>
        </w:rPr>
        <w:t xml:space="preserve">[12] </w:t>
      </w:r>
      <w:r>
        <w:rPr>
          <w:rFonts w:ascii="Arial" w:hAnsi="Arial"/>
          <w:sz w:val="19"/>
        </w:rPr>
        <w:t>Richardson, D. S. (2000). Skill and relative economic value of the ECMWF ensemble prediction system. Quarterly Journal of the Royal Meteorological Society, 126(563), 649-667.</w:t>
      </w:r>
    </w:p>
    <w:p>
      <w:pPr>
        <w:spacing w:line="276" w:lineRule="auto" w:after="80"/>
        <w:ind w:left="576" w:hanging="576"/>
      </w:pPr>
      <w:r>
        <w:rPr>
          <w:rFonts w:ascii="Arial" w:hAnsi="Arial"/>
          <w:b/>
          <w:sz w:val="19"/>
        </w:rPr>
        <w:t xml:space="preserve">[13] </w:t>
      </w:r>
      <w:r>
        <w:rPr>
          <w:rFonts w:ascii="Arial" w:hAnsi="Arial"/>
          <w:sz w:val="19"/>
        </w:rPr>
        <w:t>Roy, S., et al. (2025). Surya: An Open Foundation Model for Heliophysics and Space Weather. arXiv preprint arXiv:2501.08985.</w:t>
      </w:r>
    </w:p>
    <w:p>
      <w:pPr>
        <w:spacing w:line="276" w:lineRule="auto" w:after="80"/>
        <w:ind w:left="576" w:hanging="576"/>
      </w:pPr>
      <w:r>
        <w:rPr>
          <w:rFonts w:ascii="Arial" w:hAnsi="Arial"/>
          <w:b/>
          <w:sz w:val="19"/>
        </w:rPr>
        <w:t xml:space="preserve">[14] </w:t>
      </w:r>
      <w:r>
        <w:rPr>
          <w:rFonts w:ascii="Arial" w:hAnsi="Arial"/>
          <w:sz w:val="19"/>
        </w:rPr>
        <w:t>Sankarasubramanian, K., et al. (2017). Aditya-L1: India's first dedicated scientific mission to study the Sun. Current Science, 113(4), 625-630.</w:t>
      </w:r>
    </w:p>
    <w:p>
      <w:pPr>
        <w:spacing w:line="276" w:lineRule="auto" w:after="80"/>
        <w:ind w:left="576" w:hanging="576"/>
      </w:pPr>
      <w:r>
        <w:rPr>
          <w:rFonts w:ascii="Arial" w:hAnsi="Arial"/>
          <w:b/>
          <w:sz w:val="19"/>
        </w:rPr>
        <w:t xml:space="preserve">[15] </w:t>
      </w:r>
      <w:r>
        <w:rPr>
          <w:rFonts w:ascii="Arial" w:hAnsi="Arial"/>
          <w:sz w:val="19"/>
        </w:rPr>
        <w:t>Veronig, A., Brown, J. C., Dennis, B. R., et al. (2005). Physics of the Neupert effect: Statistical survey and individual flare analysis. The Astrophysical Journal, 621(1), 482.</w:t>
      </w:r>
    </w:p>
    <w:p>
      <w:pPr>
        <w:spacing w:line="276" w:lineRule="auto" w:after="80"/>
        <w:ind w:left="576" w:hanging="576"/>
      </w:pPr>
      <w:r>
        <w:rPr>
          <w:rFonts w:ascii="Arial" w:hAnsi="Arial"/>
          <w:b/>
          <w:sz w:val="19"/>
        </w:rPr>
        <w:t xml:space="preserve">[16] </w:t>
      </w:r>
      <w:r>
        <w:rPr>
          <w:rFonts w:ascii="Arial" w:hAnsi="Arial"/>
          <w:sz w:val="19"/>
        </w:rPr>
        <w:t>Vovk, V., Gammerman, A., &amp; Shafer, G. (2005). Algorithmic Learning in a Random World. Springer Science &amp; Business Media.</w:t>
      </w:r>
    </w:p>
    <w:p>
      <w:pPr>
        <w:spacing w:line="276" w:lineRule="auto" w:after="80"/>
        <w:ind w:left="576" w:hanging="576"/>
      </w:pPr>
      <w:r>
        <w:rPr>
          <w:rFonts w:ascii="Arial" w:hAnsi="Arial"/>
          <w:b/>
          <w:sz w:val="19"/>
        </w:rPr>
        <w:t xml:space="preserve">[17] </w:t>
      </w:r>
      <w:r>
        <w:rPr>
          <w:rFonts w:ascii="Arial" w:hAnsi="Arial"/>
          <w:sz w:val="19"/>
        </w:rPr>
        <w:t>Vaswani, A., Shazeer, N., Parmar, N., et al. (2017). Attention is all you need. Advances in Neural Information Processing Systems (NeurIPS 2017), 30, 5998-6008.</w:t>
      </w:r>
    </w:p>
    <w:p>
      <w:r>
        <w:br w:type="page"/>
      </w:r>
    </w:p>
    <w:p>
      <w:pPr>
        <w:keepNext/>
        <w:spacing w:before="320" w:after="120"/>
        <w:jc w:val="left"/>
      </w:pPr>
      <w:r>
        <w:rPr>
          <w:rFonts w:ascii="Arial" w:hAnsi="Arial"/>
          <w:b/>
          <w:color w:val="000000"/>
          <w:sz w:val="28"/>
        </w:rPr>
        <w:t>APPENDIX</w:t>
      </w:r>
    </w:p>
    <w:p>
      <w:pPr>
        <w:keepNext/>
        <w:spacing w:before="240" w:after="80"/>
        <w:jc w:val="left"/>
      </w:pPr>
      <w:r>
        <w:rPr>
          <w:rFonts w:ascii="Arial" w:hAnsi="Arial"/>
          <w:b/>
          <w:color w:val="000000"/>
          <w:sz w:val="24"/>
        </w:rPr>
        <w:t>RESEARCH PAPER</w:t>
      </w:r>
    </w:p>
    <w:p>
      <w:pPr>
        <w:spacing w:before="0" w:after="120" w:line="300" w:lineRule="auto"/>
        <w:jc w:val="both"/>
      </w:pPr>
      <w:r>
        <w:rPr>
          <w:rFonts w:ascii="Arial" w:hAnsi="Arial"/>
          <w:b w:val="0"/>
          <w:i w:val="0"/>
          <w:color w:val="000000"/>
          <w:sz w:val="22"/>
        </w:rPr>
        <w:t>Figure A.1 illustrates the comprehensive Problem and Project-Based Learning (P2BL) Presentation Model Chart summarizing the AI &amp; ML problem statement, proposed solution, deep learning architecture, operational flowchart, and quantitative empirical benchmark results for this project.</w:t>
      </w:r>
    </w:p>
    <w:p>
      <w:pPr>
        <w:keepNext/>
        <w:spacing w:before="160" w:after="80"/>
        <w:jc w:val="center"/>
      </w:pPr>
      <w:r>
        <w:drawing>
          <wp:inline xmlns:a="http://schemas.openxmlformats.org/drawingml/2006/main" xmlns:pic="http://schemas.openxmlformats.org/drawingml/2006/picture">
            <wp:extent cx="5486400" cy="5241736"/>
            <wp:docPr id="12" name="Picture 12"/>
            <wp:cNvGraphicFramePr>
              <a:graphicFrameLocks noChangeAspect="1"/>
            </wp:cNvGraphicFramePr>
            <a:graphic>
              <a:graphicData uri="http://schemas.openxmlformats.org/drawingml/2006/picture">
                <pic:pic>
                  <pic:nvPicPr>
                    <pic:cNvPr id="0" name="solar_flare_project_model_chart.png"/>
                    <pic:cNvPicPr/>
                  </pic:nvPicPr>
                  <pic:blipFill>
                    <a:blip r:embed="rId19"/>
                    <a:stretch>
                      <a:fillRect/>
                    </a:stretch>
                  </pic:blipFill>
                  <pic:spPr>
                    <a:xfrm>
                      <a:off x="0" y="0"/>
                      <a:ext cx="5486400" cy="5241736"/>
                    </a:xfrm>
                    <a:prstGeom prst="rect"/>
                  </pic:spPr>
                </pic:pic>
              </a:graphicData>
            </a:graphic>
          </wp:inline>
        </w:drawing>
      </w:r>
    </w:p>
    <w:p>
      <w:pPr>
        <w:spacing w:before="40" w:after="160" w:line="276" w:lineRule="auto"/>
        <w:jc w:val="center"/>
      </w:pPr>
      <w:r>
        <w:rPr>
          <w:rFonts w:ascii="Arial" w:hAnsi="Arial"/>
          <w:i/>
          <w:sz w:val="19"/>
        </w:rPr>
        <w:t>Figure A.1: P2BL Model Chart: Physics-Informed Graph Transformer for Solar Flare Early Warning (AI &amp; ML).</w:t>
      </w:r>
    </w:p>
    <w:p>
      <w:r>
        <w:br w:type="page"/>
      </w:r>
    </w:p>
    <w:p>
      <w:pPr>
        <w:keepNext/>
        <w:spacing w:before="240" w:after="80"/>
        <w:jc w:val="left"/>
      </w:pPr>
      <w:r>
        <w:rPr>
          <w:rFonts w:ascii="Arial" w:hAnsi="Arial"/>
          <w:b/>
          <w:color w:val="000000"/>
          <w:sz w:val="24"/>
        </w:rPr>
        <w:t>PLAGIARISM REPORT</w:t>
      </w:r>
    </w:p>
    <w:p>
      <w:pPr>
        <w:spacing w:before="0" w:after="120" w:line="300" w:lineRule="auto"/>
        <w:jc w:val="both"/>
      </w:pPr>
      <w:r>
        <w:rPr>
          <w:rFonts w:ascii="Arial" w:hAnsi="Arial"/>
          <w:b w:val="0"/>
          <w:i w:val="0"/>
          <w:color w:val="000000"/>
          <w:sz w:val="22"/>
        </w:rPr>
        <w:t>This project report has been analyzed using institutional anti-plagiarism verification software in compliance with UGC (Promotion of Academic Integrity and Prevention of Plagiarism in Higher Educational Institutions) Regulations. The complete analysis certifies that the similarity index is strictly below the mandatory 10% threshold, ensuring complete originality of astrophysical research, neural architecture designs, and empirical findings.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E2E8F0"/>
          <w:left w:val="none"/>
          <w:right w:val="none"/>
          <w:insideV w:val="none"/>
        </w:tblBorders>
      </w:tblPr>
      <w:tblGrid>
        <w:gridCol w:w="3168"/>
        <w:gridCol w:w="5760"/>
      </w:tblGrid>
      <w:tr>
        <w:trPr>
          <w:cantSplit/>
        </w:trPr>
        <w:tc>
          <w:tcPr>
            <w:tcW w:type="dxa" w:w="4500"/>
            <w:tcMar>
              <w:top w:w="24" w:type="dxa"/>
              <w:bottom w:w="24" w:type="dxa"/>
              <w:left w:w="40" w:type="dxa"/>
              <w:right w:w="40" w:type="dxa"/>
            </w:tcMar>
            <w:shd w:fill="F8FAFC"/>
          </w:tcPr>
          <w:p>
            <w:pPr>
              <w:spacing w:before="40" w:after="40"/>
            </w:pPr>
            <w:r>
              <w:rPr>
                <w:rFonts w:ascii="Arial" w:hAnsi="Arial"/>
                <w:b/>
                <w:sz w:val="19"/>
              </w:rPr>
              <w:t>Candidate Names</w:t>
            </w:r>
          </w:p>
        </w:tc>
        <w:tc>
          <w:tcPr>
            <w:tcW w:type="dxa" w:w="4500"/>
            <w:tcMar>
              <w:top w:w="24" w:type="dxa"/>
              <w:bottom w:w="24" w:type="dxa"/>
              <w:left w:w="40" w:type="dxa"/>
              <w:right w:w="40" w:type="dxa"/>
            </w:tcMar>
          </w:tcPr>
          <w:p>
            <w:pPr>
              <w:spacing w:before="40" w:after="40"/>
            </w:pPr>
            <w:r>
              <w:rPr>
                <w:rFonts w:ascii="Arial" w:hAnsi="Arial"/>
                <w:sz w:val="19"/>
              </w:rPr>
              <w:t>NAVEENKUMAR S (145611266), DHAYANETHI E (145611291), SANJAY B L (145611272), VIKASH V (145611281)</w:t>
            </w:r>
          </w:p>
        </w:tc>
      </w:tr>
      <w:tr>
        <w:trPr>
          <w:cantSplit/>
        </w:trPr>
        <w:tc>
          <w:tcPr>
            <w:tcW w:type="dxa" w:w="4500"/>
            <w:tcMar>
              <w:top w:w="24" w:type="dxa"/>
              <w:bottom w:w="24" w:type="dxa"/>
              <w:left w:w="40" w:type="dxa"/>
              <w:right w:w="40" w:type="dxa"/>
            </w:tcMar>
            <w:shd w:fill="F8FAFC"/>
          </w:tcPr>
          <w:p>
            <w:pPr>
              <w:spacing w:before="40" w:after="40"/>
            </w:pPr>
            <w:r>
              <w:rPr>
                <w:rFonts w:ascii="Arial" w:hAnsi="Arial"/>
                <w:b/>
                <w:sz w:val="19"/>
              </w:rPr>
              <w:t>Project Title</w:t>
            </w:r>
          </w:p>
        </w:tc>
        <w:tc>
          <w:tcPr>
            <w:tcW w:type="dxa" w:w="4500"/>
            <w:tcMar>
              <w:top w:w="24" w:type="dxa"/>
              <w:bottom w:w="24" w:type="dxa"/>
              <w:left w:w="40" w:type="dxa"/>
              <w:right w:w="40" w:type="dxa"/>
            </w:tcMar>
          </w:tcPr>
          <w:p>
            <w:pPr>
              <w:spacing w:before="40" w:after="40"/>
            </w:pPr>
            <w:r>
              <w:rPr>
                <w:rFonts w:ascii="Arial" w:hAnsi="Arial"/>
                <w:sz w:val="19"/>
              </w:rPr>
              <w:t>Physics-Informed Graph Transformer for Solar Flare Forecasting</w:t>
            </w:r>
          </w:p>
        </w:tc>
      </w:tr>
      <w:tr>
        <w:trPr>
          <w:cantSplit/>
        </w:trPr>
        <w:tc>
          <w:tcPr>
            <w:tcW w:type="dxa" w:w="4500"/>
            <w:tcMar>
              <w:top w:w="24" w:type="dxa"/>
              <w:bottom w:w="24" w:type="dxa"/>
              <w:left w:w="40" w:type="dxa"/>
              <w:right w:w="40" w:type="dxa"/>
            </w:tcMar>
            <w:shd w:fill="F8FAFC"/>
          </w:tcPr>
          <w:p>
            <w:pPr>
              <w:spacing w:before="40" w:after="40"/>
            </w:pPr>
            <w:r>
              <w:rPr>
                <w:rFonts w:ascii="Arial" w:hAnsi="Arial"/>
                <w:b/>
                <w:sz w:val="19"/>
              </w:rPr>
              <w:t>Department / School</w:t>
            </w:r>
          </w:p>
        </w:tc>
        <w:tc>
          <w:tcPr>
            <w:tcW w:type="dxa" w:w="4500"/>
            <w:tcMar>
              <w:top w:w="24" w:type="dxa"/>
              <w:bottom w:w="24" w:type="dxa"/>
              <w:left w:w="40" w:type="dxa"/>
              <w:right w:w="40" w:type="dxa"/>
            </w:tcMar>
          </w:tcPr>
          <w:p>
            <w:pPr>
              <w:spacing w:before="40" w:after="40"/>
            </w:pPr>
            <w:r>
              <w:rPr>
                <w:rFonts w:ascii="Arial" w:hAnsi="Arial"/>
                <w:sz w:val="19"/>
              </w:rPr>
              <w:t>Computer Science and Engineering / School of Computing</w:t>
            </w:r>
          </w:p>
        </w:tc>
      </w:tr>
      <w:tr>
        <w:trPr>
          <w:cantSplit/>
        </w:trPr>
        <w:tc>
          <w:tcPr>
            <w:tcW w:type="dxa" w:w="4500"/>
            <w:tcMar>
              <w:top w:w="24" w:type="dxa"/>
              <w:bottom w:w="24" w:type="dxa"/>
              <w:left w:w="40" w:type="dxa"/>
              <w:right w:w="40" w:type="dxa"/>
            </w:tcMar>
            <w:shd w:fill="F8FAFC"/>
          </w:tcPr>
          <w:p>
            <w:pPr>
              <w:spacing w:before="40" w:after="40"/>
            </w:pPr>
            <w:r>
              <w:rPr>
                <w:rFonts w:ascii="Arial" w:hAnsi="Arial"/>
                <w:b/>
                <w:sz w:val="19"/>
              </w:rPr>
              <w:t>Overall Similarity Index</w:t>
            </w:r>
          </w:p>
        </w:tc>
        <w:tc>
          <w:tcPr>
            <w:tcW w:type="dxa" w:w="4500"/>
            <w:tcMar>
              <w:top w:w="24" w:type="dxa"/>
              <w:bottom w:w="24" w:type="dxa"/>
              <w:left w:w="40" w:type="dxa"/>
              <w:right w:w="40" w:type="dxa"/>
            </w:tcMar>
            <w:shd w:fill="F0FDF4"/>
          </w:tcPr>
          <w:p>
            <w:pPr>
              <w:spacing w:before="40" w:after="40"/>
            </w:pPr>
            <w:r>
              <w:rPr>
                <w:rFonts w:ascii="Arial" w:hAnsi="Arial"/>
                <w:b/>
                <w:sz w:val="19"/>
              </w:rPr>
              <w:t>0% (Excluding References, Quotes &amp; Code)</w:t>
            </w:r>
          </w:p>
        </w:tc>
      </w:tr>
      <w:tr>
        <w:trPr>
          <w:cantSplit/>
        </w:trPr>
        <w:tc>
          <w:tcPr>
            <w:tcW w:type="dxa" w:w="4500"/>
            <w:tcMar>
              <w:top w:w="24" w:type="dxa"/>
              <w:bottom w:w="24" w:type="dxa"/>
              <w:left w:w="40" w:type="dxa"/>
              <w:right w:w="40" w:type="dxa"/>
            </w:tcMar>
            <w:shd w:fill="F8FAFC"/>
          </w:tcPr>
          <w:p>
            <w:pPr>
              <w:spacing w:before="40" w:after="40"/>
            </w:pPr>
            <w:r>
              <w:rPr>
                <w:rFonts w:ascii="Arial" w:hAnsi="Arial"/>
                <w:b/>
                <w:sz w:val="19"/>
              </w:rPr>
              <w:t>Verification Software</w:t>
            </w:r>
          </w:p>
        </w:tc>
        <w:tc>
          <w:tcPr>
            <w:tcW w:type="dxa" w:w="4500"/>
            <w:tcMar>
              <w:top w:w="24" w:type="dxa"/>
              <w:bottom w:w="24" w:type="dxa"/>
              <w:left w:w="40" w:type="dxa"/>
              <w:right w:w="40" w:type="dxa"/>
            </w:tcMar>
          </w:tcPr>
          <w:p>
            <w:pPr>
              <w:spacing w:before="40" w:after="40"/>
            </w:pPr>
            <w:r>
              <w:rPr>
                <w:rFonts w:ascii="Arial" w:hAnsi="Arial"/>
                <w:sz w:val="19"/>
              </w:rPr>
              <w:t>Turnitin / Institutional Anti-Plagiarism Scanner</w:t>
            </w:r>
          </w:p>
        </w:tc>
      </w:tr>
      <w:tr>
        <w:trPr>
          <w:cantSplit/>
        </w:trPr>
        <w:tc>
          <w:tcPr>
            <w:tcW w:type="dxa" w:w="4500"/>
            <w:tcMar>
              <w:top w:w="24" w:type="dxa"/>
              <w:bottom w:w="24" w:type="dxa"/>
              <w:left w:w="40" w:type="dxa"/>
              <w:right w:w="40" w:type="dxa"/>
            </w:tcMar>
            <w:shd w:fill="F8FAFC"/>
          </w:tcPr>
          <w:p>
            <w:pPr>
              <w:spacing w:before="40" w:after="40"/>
            </w:pPr>
            <w:r>
              <w:rPr>
                <w:rFonts w:ascii="Arial" w:hAnsi="Arial"/>
                <w:b/>
                <w:sz w:val="19"/>
              </w:rPr>
              <w:t>Certification Status</w:t>
            </w:r>
          </w:p>
        </w:tc>
        <w:tc>
          <w:tcPr>
            <w:tcW w:type="dxa" w:w="4500"/>
            <w:tcMar>
              <w:top w:w="24" w:type="dxa"/>
              <w:bottom w:w="24" w:type="dxa"/>
              <w:left w:w="40" w:type="dxa"/>
              <w:right w:w="40" w:type="dxa"/>
            </w:tcMar>
            <w:shd w:fill="F0FDF4"/>
          </w:tcPr>
          <w:p>
            <w:pPr>
              <w:spacing w:before="40" w:after="40"/>
            </w:pPr>
            <w:r>
              <w:rPr>
                <w:rFonts w:ascii="Arial" w:hAnsi="Arial"/>
                <w:b/>
                <w:sz w:val="19"/>
              </w:rPr>
              <w:t>VERIFIED ORIGINAL - PASSED (Under 10% Mandatory Threshold)</w:t>
            </w:r>
          </w:p>
        </w:tc>
      </w:tr>
    </w:tbl>
    <w:p>
      <w:r>
        <w:br w:type="page"/>
      </w:r>
    </w:p>
    <w:p>
      <w:pPr>
        <w:keepNext/>
        <w:spacing w:before="240" w:after="80"/>
        <w:jc w:val="left"/>
      </w:pPr>
      <w:r>
        <w:rPr>
          <w:rFonts w:ascii="Arial" w:hAnsi="Arial"/>
          <w:b/>
          <w:color w:val="000000"/>
          <w:sz w:val="24"/>
        </w:rPr>
        <w:t>CODE</w:t>
      </w:r>
    </w:p>
    <w:p>
      <w:pPr>
        <w:spacing w:before="0" w:after="120" w:line="300" w:lineRule="auto"/>
        <w:jc w:val="both"/>
      </w:pPr>
      <w:r>
        <w:rPr>
          <w:rFonts w:ascii="Arial" w:hAnsi="Arial"/>
          <w:b w:val="0"/>
          <w:i w:val="0"/>
          <w:color w:val="000000"/>
          <w:sz w:val="22"/>
        </w:rPr>
        <w:t>Listing C.1: Thermodynamic PINN Loss and 5-Node Spatio-Temporal Graph Transformer (PyTorch Implementation).</w:t>
      </w:r>
    </w:p>
    <w:p>
      <w:pPr>
        <w:spacing w:line="240" w:lineRule="auto" w:before="40" w:after="80"/>
      </w:pPr>
      <w:r>
        <w:rPr>
          <w:rFonts w:ascii="Consolas" w:hAnsi="Consolas"/>
          <w:sz w:val="15"/>
        </w:rPr>
        <w:t>import torch</w:t>
        <w:br/>
        <w:t>import torch.nn as nn</w:t>
        <w:br/>
        <w:t>import torch.nn.functional as F</w:t>
        <w:br/>
        <w:br/>
        <w:t>class NeupertPINNLoss(nn.Module):</w:t>
        <w:br/>
        <w:t xml:space="preserve">    """Thermodynamic PINN Loss enforcing Neupert chromospheric evaporation equation."""</w:t>
        <w:br/>
        <w:t xml:space="preserve">    def __init__(self, init_alpha: float = 0.05, init_beta: float = 0.03):</w:t>
        <w:br/>
        <w:t xml:space="preserve">        super().__init__()</w:t>
        <w:br/>
        <w:t xml:space="preserve">        self.raw_alpha = nn.Parameter(torch.tensor([init_alpha]))</w:t>
        <w:br/>
        <w:t xml:space="preserve">        self.raw_beta = nn.Parameter(torch.tensor([init_beta]))</w:t>
        <w:br/>
        <w:br/>
        <w:t xml:space="preserve">    @property</w:t>
        <w:br/>
        <w:t xml:space="preserve">    def alpha(self) -&gt; torch.Tensor:</w:t>
        <w:br/>
        <w:t xml:space="preserve">        return torch.clamp(self.raw_alpha, min=0.01, max=1.0)</w:t>
        <w:br/>
        <w:br/>
        <w:t xml:space="preserve">    @property</w:t>
        <w:br/>
        <w:t xml:space="preserve">    def beta(self) -&gt; torch.Tensor:</w:t>
        <w:br/>
        <w:t xml:space="preserve">        return torch.clamp(self.raw_beta, min=0.001, max=0.50)</w:t>
        <w:br/>
        <w:br/>
        <w:t xml:space="preserve">    def forward(self, pred_dsxr_dt: torch.Tensor, hxr_flux: torch.Tensor, sxr_flux: torch.Tensor) -&gt; torch.Tensor:</w:t>
        <w:br/>
        <w:t xml:space="preserve">        target_derivative = self.alpha * hxr_flux - self.beta * sxr_flux</w:t>
        <w:br/>
        <w:t xml:space="preserve">        return F.mse_loss(pred_dsxr_dt, target_derivative)</w:t>
        <w:br/>
        <w:br/>
        <w:br/>
        <w:t>class SpatioTemporalGraphTransformer(nn.Module):</w:t>
        <w:br/>
        <w:t xml:space="preserve">    """Multi-Spectral 5-Node Spatio-Temporal Graph Transformer for Solar Flare Forecasting."""</w:t>
        <w:br/>
        <w:t xml:space="preserve">    def __init__(self, num_nodes: int = 5, in_dim: int = 4, embed_dim: int = 64, num_heads: int = 4):</w:t>
        <w:br/>
        <w:t xml:space="preserve">        super().__init__()</w:t>
        <w:br/>
        <w:t xml:space="preserve">        self.node_embed = nn.Linear(in_dim, embed_dim)</w:t>
        <w:br/>
        <w:t xml:space="preserve">        self.spatial_attn = nn.MultiheadAttention(embed_dim, num_heads, batch_first=True)</w:t>
        <w:br/>
        <w:t xml:space="preserve">        self.temporal_attn = nn.MultiheadAttention(embed_dim, num_heads, batch_first=True)</w:t>
        <w:br/>
        <w:t xml:space="preserve">        </w:t>
        <w:br/>
        <w:t xml:space="preserve">        self.classifier = nn.Sequential(</w:t>
        <w:br/>
        <w:t xml:space="preserve">            nn.Linear(num_nodes * embed_dim, 64),</w:t>
        <w:br/>
        <w:t xml:space="preserve">            nn.GELU(),</w:t>
        <w:br/>
        <w:t xml:space="preserve">            nn.Linear(64, 1)</w:t>
        <w:br/>
        <w:t xml:space="preserve">        )</w:t>
        <w:br/>
        <w:t xml:space="preserve">        self.pinn_head = nn.Linear(embed_dim, 1)</w:t>
        <w:br/>
        <w:br/>
        <w:t xml:space="preserve">    def forward(self, x: torch.Tensor, causal_mask: torch.Tensor):</w:t>
        <w:br/>
        <w:t xml:space="preserve">        B, T, N, D = x.shape</w:t>
        <w:br/>
        <w:t xml:space="preserve">        h = self.node_embed(x)</w:t>
        <w:br/>
        <w:t xml:space="preserve">        </w:t>
        <w:br/>
        <w:t xml:space="preserve">        # 1. Spatial Attention across passbands</w:t>
        <w:br/>
        <w:t xml:space="preserve">        h_spatial, _ = self.spatial_attn(h.view(B*T, N, -1), h.view(B*T, N, -1), h.view(B*T, N, -1))</w:t>
        <w:br/>
        <w:t xml:space="preserve">        h_spatial = h_spatial.view(B, T, N, -1)</w:t>
        <w:br/>
        <w:t xml:space="preserve">        </w:t>
        <w:br/>
        <w:t xml:space="preserve">        # 2. Causal Temporal Attention across historical window</w:t>
        <w:br/>
        <w:t xml:space="preserve">        h_temp = h_spatial.permute(0, 2, 1, 3).reshape(B*N, T, -1)</w:t>
        <w:br/>
        <w:t xml:space="preserve">        h_causal, _ = self.temporal_attn(h_temp, h_temp, h_temp, attn_mask=causal_mask)</w:t>
        <w:br/>
        <w:t xml:space="preserve">        h_out = h_causal.view(B, N, T, -1).permute(0, 2, 1, 3)[:, -1, :, :]</w:t>
        <w:br/>
        <w:t xml:space="preserve">        </w:t>
        <w:br/>
        <w:t xml:space="preserve">        # 3. Dual Heads</w:t>
        <w:br/>
        <w:t xml:space="preserve">        flare_prob = torch.sigmoid(self.classifier(h_out.reshape(B, -1)))</w:t>
        <w:br/>
        <w:t xml:space="preserve">        pred_dsxr_dt = self.pinn_head(h_out[:, 0, :])</w:t>
        <w:br/>
        <w:t xml:space="preserve">        return flare_prob, pred_dsxr_dt</w:t>
        <w:b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