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Times New Roman" w:hAnsi="Times New Roman"/>
          <w:b/>
          <w:i w:val="0"/>
          <w:color w:val="003C78"/>
          <w:sz w:val="32"/>
        </w:rPr>
        <w:t>SHRI VAISHNAV VIDYAPEETH VISHWAVIDYALAYA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color w:val="003C78"/>
          <w:sz w:val="26"/>
        </w:rPr>
        <w:t>Shri Vaishnav Institute of Information Technology</w:t>
      </w:r>
    </w:p>
    <w:p>
      <w:pPr>
        <w:spacing w:before="0" w:after="8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2"/>
        </w:rPr>
        <w:t>Ref. No.: SVIIT/2026/01/80</w:t>
      </w:r>
    </w:p>
    <w:p>
      <w:pPr>
        <w:jc w:val="right"/>
      </w:pPr>
      <w:r>
        <w:rPr>
          <w:rFonts w:ascii="Times New Roman" w:hAnsi="Times New Roman"/>
          <w:b w:val="0"/>
          <w:i w:val="0"/>
          <w:sz w:val="22"/>
        </w:rPr>
        <w:t>Date: 13/01/2026</w:t>
      </w:r>
    </w:p>
    <w:p>
      <w:pPr>
        <w:spacing w:before="0" w:after="80"/>
        <w:jc w:val="left"/>
      </w:pPr>
    </w:p>
    <w:p>
      <w:pPr>
        <w:spacing w:before="200" w:after="40"/>
        <w:jc w:val="center"/>
      </w:pPr>
      <w:r>
        <w:rPr>
          <w:rFonts w:ascii="Times New Roman" w:hAnsi="Times New Roman"/>
          <w:b/>
          <w:i w:val="0"/>
          <w:sz w:val="28"/>
        </w:rPr>
        <w:t>NOTICE</w:t>
      </w:r>
    </w:p>
    <w:p>
      <w:pPr>
        <w:jc w:val="center"/>
        <w:pBdr>
          <w:top w:val="single" w:sz="8" w:space="1" w:color="000000"/>
          <w:bottom w:val="single" w:sz="8" w:space="1" w:color="000000"/>
        </w:pBdr>
      </w:pPr>
      <w:r>
        <w:rPr>
          <w:rFonts w:ascii="Times New Roman" w:hAnsi="Times New Roman"/>
          <w:b/>
          <w:i w:val="0"/>
          <w:sz w:val="26"/>
        </w:rPr>
        <w:t>Minor Project Documentation — GapLens Skill Diagnostic Platform</w:t>
      </w:r>
    </w:p>
    <w:p>
      <w:pPr>
        <w:spacing w:before="0" w:after="80"/>
        <w:jc w:val="left"/>
      </w:pP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timeline_17778104164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/>
          <w:color w:val="646464"/>
          <w:sz w:val="18"/>
        </w:rPr>
        <w:t>Figure 1: 12-Week Project Timeline</w:t>
      </w:r>
    </w:p>
    <w:p>
      <w:r>
        <w:br w:type="page"/>
      </w:r>
    </w:p>
    <w:p>
      <w:pPr>
        <w:spacing w:before="120" w:after="80"/>
        <w:jc w:val="left"/>
      </w:pPr>
      <w:r>
        <w:rPr>
          <w:rFonts w:ascii="Times New Roman" w:hAnsi="Times New Roman"/>
          <w:b/>
          <w:i w:val="0"/>
          <w:color w:val="003C78"/>
          <w:sz w:val="28"/>
        </w:rPr>
        <w:t>1. Project Overview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2"/>
        </w:rPr>
        <w:t>GapLens is an AI-powered skill diagnostic and career gap analysis platform. It identifies skill gaps between a student's current abilities and industry requirements, then recommends personalized upskilling resources using YouTube API and Google Gemini AI.</w:t>
      </w:r>
    </w:p>
    <w:p>
      <w:r>
        <w:rPr>
          <w:rFonts w:ascii="Times New Roman" w:hAnsi="Times New Roman"/>
          <w:b/>
          <w:i w:val="0"/>
          <w:sz w:val="22"/>
        </w:rPr>
        <w:t xml:space="preserve">Project Title: </w:t>
      </w:r>
      <w:r>
        <w:rPr>
          <w:rFonts w:ascii="Times New Roman" w:hAnsi="Times New Roman"/>
          <w:b w:val="0"/>
          <w:i w:val="0"/>
          <w:sz w:val="22"/>
        </w:rPr>
        <w:t>GapLens — Skill Diagnostic &amp; Employment Platform</w:t>
      </w:r>
    </w:p>
    <w:p>
      <w:r>
        <w:rPr>
          <w:rFonts w:ascii="Times New Roman" w:hAnsi="Times New Roman"/>
          <w:b/>
          <w:i w:val="0"/>
          <w:sz w:val="22"/>
        </w:rPr>
        <w:t xml:space="preserve">Technology Stack: </w:t>
      </w:r>
      <w:r>
        <w:rPr>
          <w:rFonts w:ascii="Times New Roman" w:hAnsi="Times New Roman"/>
          <w:b w:val="0"/>
          <w:i w:val="0"/>
          <w:sz w:val="22"/>
        </w:rPr>
        <w:t>Python 3.14 · Flask · MongoDB · GridFS · Google OAuth · Gemini AI · YouTube API · Tailwind CSS</w:t>
      </w:r>
    </w:p>
    <w:p>
      <w:r>
        <w:rPr>
          <w:rFonts w:ascii="Times New Roman" w:hAnsi="Times New Roman"/>
          <w:b/>
          <w:i w:val="0"/>
          <w:sz w:val="22"/>
        </w:rPr>
        <w:t xml:space="preserve">Roles: </w:t>
      </w:r>
      <w:r>
        <w:rPr>
          <w:rFonts w:ascii="Times New Roman" w:hAnsi="Times New Roman"/>
          <w:b w:val="0"/>
          <w:i w:val="0"/>
          <w:sz w:val="22"/>
        </w:rPr>
        <w:t>Student · Recruiter · Admin</w:t>
      </w:r>
    </w:p>
    <w:p>
      <w:r>
        <w:rPr>
          <w:rFonts w:ascii="Times New Roman" w:hAnsi="Times New Roman"/>
          <w:b/>
          <w:i w:val="0"/>
          <w:sz w:val="22"/>
        </w:rPr>
        <w:t xml:space="preserve">Version Control: </w:t>
      </w:r>
      <w:r>
        <w:rPr>
          <w:rFonts w:ascii="Times New Roman" w:hAnsi="Times New Roman"/>
          <w:b w:val="0"/>
          <w:i w:val="0"/>
          <w:sz w:val="22"/>
        </w:rPr>
        <w:t>GitHub — github.com/NAYAN-014/Gaplense-</w:t>
      </w:r>
    </w:p>
    <w:p>
      <w:pPr>
        <w:spacing w:before="0" w:after="80"/>
        <w:jc w:val="left"/>
      </w:pP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17778104307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/>
          <w:color w:val="646464"/>
          <w:sz w:val="18"/>
        </w:rPr>
        <w:t>Figure 2: System Architecture — Flask Blueprints, MongoDB, External APIs</w:t>
      </w:r>
    </w:p>
    <w:p>
      <w:r>
        <w:br w:type="page"/>
      </w:r>
    </w:p>
    <w:p>
      <w:pPr>
        <w:spacing w:before="120" w:after="120"/>
        <w:jc w:val="left"/>
      </w:pPr>
      <w:r>
        <w:rPr>
          <w:rFonts w:ascii="Times New Roman" w:hAnsi="Times New Roman"/>
          <w:b/>
          <w:i w:val="0"/>
          <w:color w:val="003C78"/>
          <w:sz w:val="28"/>
        </w:rPr>
        <w:t>2. UML Diagrams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color w:val="005096"/>
          <w:sz w:val="24"/>
        </w:rPr>
        <w:t>2.1  Use Case Diagram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2"/>
        </w:rPr>
        <w:t>Defines system boundaries and interactions between actors (Student, Recruiter, Admin) and system functionalities.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_17778106445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/>
          <w:color w:val="646464"/>
          <w:sz w:val="18"/>
        </w:rPr>
        <w:t>Figure 3: Use Case Diagram — All Roles</w:t>
      </w:r>
    </w:p>
    <w:p>
      <w:pPr>
        <w:spacing w:before="0" w:after="8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color w:val="005096"/>
          <w:sz w:val="24"/>
        </w:rPr>
        <w:t>2.2  Class Diagram (Domain Model)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2"/>
        </w:rPr>
        <w:t>Shows all domain entities, their attributes, methods, and relationships. Key classes: User, Assessment, Result, Job, Resume, CommunityPost.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_diagram_177781123115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/>
          <w:color w:val="646464"/>
          <w:sz w:val="18"/>
        </w:rPr>
        <w:t>Figure 4: Class Diagram — GapLens Domain Model</w:t>
      </w:r>
    </w:p>
    <w:p>
      <w:pPr>
        <w:spacing w:before="0" w:after="8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color w:val="005096"/>
          <w:sz w:val="24"/>
        </w:rPr>
        <w:t>2.3  Sequence Diagram — Diagnostic Test Flow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2"/>
        </w:rPr>
        <w:t>Shows how the Student, Browser, Flask Backend, MongoDB, and Gemini AI interact during a diagnostic test session.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177781129145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/>
          <w:color w:val="646464"/>
          <w:sz w:val="18"/>
        </w:rPr>
        <w:t>Figure 5: Sequence Diagram — Diagnostic Test Flow</w:t>
      </w:r>
    </w:p>
    <w:p>
      <w:r>
        <w:br w:type="page"/>
      </w:r>
    </w:p>
    <w:p>
      <w:pPr>
        <w:spacing w:before="120" w:after="120"/>
        <w:jc w:val="left"/>
      </w:pPr>
      <w:r>
        <w:rPr>
          <w:rFonts w:ascii="Times New Roman" w:hAnsi="Times New Roman"/>
          <w:b/>
          <w:i w:val="0"/>
          <w:color w:val="003C78"/>
          <w:sz w:val="28"/>
        </w:rPr>
        <w:t>3. Minor Project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2592"/>
      </w:tblGrid>
      <w:tr>
        <w:tc>
          <w:tcPr>
            <w:tcW w:type="dxa" w:w="4703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Phases</w:t>
            </w:r>
          </w:p>
        </w:tc>
        <w:tc>
          <w:tcPr>
            <w:tcW w:type="dxa" w:w="4703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Date</w:t>
            </w:r>
          </w:p>
        </w:tc>
      </w:tr>
      <w:tr>
        <w:tc>
          <w:tcPr>
            <w:tcW w:type="dxa" w:w="6912"/>
            <w:shd w:val="clear" w:color="auto" w:fill="D6E8FF"/>
          </w:tcPr>
          <w:p/>
          <w:p>
            <w:pPr>
              <w:spacing w:before="80" w:after="40"/>
              <w:ind w:left="0"/>
            </w:pPr>
            <w:r>
              <w:rPr>
                <w:rFonts w:ascii="Times New Roman" w:hAnsi="Times New Roman"/>
                <w:b/>
                <w:i w:val="0"/>
                <w:sz w:val="23"/>
              </w:rPr>
              <w:t>Phase 1: Planning &amp; Requirement Analysis (Weeks 1–2)</w:t>
            </w:r>
          </w:p>
          <w:p>
            <w:pPr>
              <w:spacing w:before="40" w:after="80"/>
              <w:ind w:left="0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Focus: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Defining the scope, setting up infrastructure, and identifying functional requirements.</w:t>
            </w:r>
          </w:p>
        </w:tc>
        <w:tc>
          <w:tcPr>
            <w:tcW w:type="dxa" w:w="2592"/>
            <w:shd w:val="clear" w:color="auto" w:fill="D6E8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</w:r>
          </w:p>
        </w:tc>
      </w:tr>
      <w:tr>
        <w:tc>
          <w:tcPr>
            <w:tcW w:type="dxa" w:w="6912"/>
            <w:shd w:val="clear" w:color="auto" w:fill="FFFFFF"/>
          </w:tcPr>
          <w:p/>
          <w:p>
            <w:pPr>
              <w:spacing w:before="60" w:after="20"/>
              <w:ind w:left="144"/>
            </w:pPr>
            <w:r>
              <w:rPr>
                <w:rFonts w:ascii="Times New Roman" w:hAnsi="Times New Roman"/>
                <w:b/>
                <w:i w:val="0"/>
                <w:sz w:val="22"/>
              </w:rPr>
              <w:t>●  Week 1: Project Initiation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○  Form teams and define the problem statement.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○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Tooling: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Set up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Jira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boards (Scrum/Kanban), create Backlog, initialize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Git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repositories.</w:t>
            </w:r>
          </w:p>
          <w:p>
            <w:pPr>
              <w:spacing w:before="20" w:after="6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○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Deliverable: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Project Vision document and initial Product Backlog.</w:t>
            </w:r>
          </w:p>
        </w:tc>
        <w:tc>
          <w:tcPr>
            <w:tcW w:type="dxa" w:w="2592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  <w:t>19–24 January</w:t>
              <w:br/>
              <w:t>2026</w:t>
            </w:r>
          </w:p>
        </w:tc>
      </w:tr>
      <w:tr>
        <w:tc>
          <w:tcPr>
            <w:tcW w:type="dxa" w:w="6912"/>
            <w:shd w:val="clear" w:color="auto" w:fill="FFFFFF"/>
          </w:tcPr>
          <w:p/>
          <w:p>
            <w:pPr>
              <w:spacing w:before="60" w:after="20"/>
              <w:ind w:left="144"/>
            </w:pPr>
            <w:r>
              <w:rPr>
                <w:rFonts w:ascii="Times New Roman" w:hAnsi="Times New Roman"/>
                <w:b/>
                <w:i w:val="0"/>
                <w:sz w:val="22"/>
              </w:rPr>
              <w:t>●  Week 2: Functional Modeling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○  Identify Actors and Use Cases.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○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UML Deliverable: Use Case Diagram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— To define system boundaries.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   ■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Use Case Descriptions: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Detailed text for each primary flow.</w:t>
            </w:r>
          </w:p>
          <w:p>
            <w:pPr>
              <w:spacing w:before="20" w:after="6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○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Tooling: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Map Use Cases to Jira User Stories.</w:t>
            </w:r>
          </w:p>
        </w:tc>
        <w:tc>
          <w:tcPr>
            <w:tcW w:type="dxa" w:w="2592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  <w:t>26–31 January</w:t>
              <w:br/>
              <w:t>2026</w:t>
            </w:r>
          </w:p>
        </w:tc>
      </w:tr>
      <w:tr>
        <w:tc>
          <w:tcPr>
            <w:tcW w:type="dxa" w:w="6912"/>
            <w:shd w:val="clear" w:color="auto" w:fill="D6E8FF"/>
          </w:tcPr>
          <w:p/>
          <w:p>
            <w:pPr>
              <w:spacing w:before="80" w:after="40"/>
              <w:ind w:left="0"/>
            </w:pPr>
            <w:r>
              <w:rPr>
                <w:rFonts w:ascii="Times New Roman" w:hAnsi="Times New Roman"/>
                <w:b/>
                <w:i w:val="0"/>
                <w:sz w:val="23"/>
              </w:rPr>
              <w:t>Phase 2: Object-Oriented Analysis (Weeks 3–4)</w:t>
            </w:r>
          </w:p>
          <w:p>
            <w:pPr>
              <w:spacing w:before="40" w:after="80"/>
              <w:ind w:left="0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Focus: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Understanding the "What" of the system without focusing on implementation.</w:t>
            </w:r>
          </w:p>
        </w:tc>
        <w:tc>
          <w:tcPr>
            <w:tcW w:type="dxa" w:w="2592"/>
            <w:shd w:val="clear" w:color="auto" w:fill="D6E8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</w:r>
          </w:p>
        </w:tc>
      </w:tr>
      <w:tr>
        <w:tc>
          <w:tcPr>
            <w:tcW w:type="dxa" w:w="6912"/>
            <w:shd w:val="clear" w:color="auto" w:fill="FFFFFF"/>
          </w:tcPr>
          <w:p/>
          <w:p>
            <w:pPr>
              <w:spacing w:before="60" w:after="20"/>
              <w:ind w:left="144"/>
            </w:pPr>
            <w:r>
              <w:rPr>
                <w:rFonts w:ascii="Times New Roman" w:hAnsi="Times New Roman"/>
                <w:b/>
                <w:i w:val="0"/>
                <w:sz w:val="22"/>
              </w:rPr>
              <w:t>●  Week 3: Static Analysis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○  Identify domain entities and their relationships.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○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UML Deliverables: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   ■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Object Diagram: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Model specific instances and data snapshots.</w:t>
            </w:r>
          </w:p>
          <w:p>
            <w:pPr>
              <w:spacing w:before="20" w:after="6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   ■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Initial Class Diagram (Domain Model):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Attributes and relationships (1:1, 1:N, M:N).</w:t>
            </w:r>
          </w:p>
        </w:tc>
        <w:tc>
          <w:tcPr>
            <w:tcW w:type="dxa" w:w="2592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  <w:t>02–07 February</w:t>
              <w:br/>
              <w:t>2026</w:t>
            </w:r>
          </w:p>
        </w:tc>
      </w:tr>
      <w:tr>
        <w:tc>
          <w:tcPr>
            <w:tcW w:type="dxa" w:w="6912"/>
            <w:shd w:val="clear" w:color="auto" w:fill="FFFFFF"/>
          </w:tcPr>
          <w:p/>
          <w:p>
            <w:pPr>
              <w:spacing w:before="60" w:after="20"/>
              <w:ind w:left="144"/>
            </w:pPr>
            <w:r>
              <w:rPr>
                <w:rFonts w:ascii="Times New Roman" w:hAnsi="Times New Roman"/>
                <w:b/>
                <w:i w:val="0"/>
                <w:sz w:val="22"/>
              </w:rPr>
              <w:t>●  Week 4: Dynamic Analysis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○  Model how the system reacts to events.</w:t>
            </w:r>
          </w:p>
          <w:p>
            <w:pPr>
              <w:spacing w:before="20" w:after="6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○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UML Deliverable — Activity Diagram: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Model complex business logic and parallel workflows.</w:t>
            </w:r>
          </w:p>
        </w:tc>
        <w:tc>
          <w:tcPr>
            <w:tcW w:type="dxa" w:w="2592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  <w:t>09–14 February</w:t>
              <w:br/>
              <w:t>2026</w:t>
            </w:r>
          </w:p>
        </w:tc>
      </w:tr>
      <w:tr>
        <w:tc>
          <w:tcPr>
            <w:tcW w:type="dxa" w:w="6912"/>
            <w:shd w:val="clear" w:color="auto" w:fill="D6E8FF"/>
          </w:tcPr>
          <w:p/>
          <w:p>
            <w:pPr>
              <w:spacing w:before="80" w:after="40"/>
              <w:ind w:left="0"/>
            </w:pPr>
            <w:r>
              <w:rPr>
                <w:rFonts w:ascii="Times New Roman" w:hAnsi="Times New Roman"/>
                <w:b/>
                <w:i w:val="0"/>
                <w:sz w:val="23"/>
              </w:rPr>
              <w:t>Phase 3: Object-Oriented Design (Weeks 5–7)</w:t>
            </w:r>
          </w:p>
          <w:p>
            <w:pPr>
              <w:spacing w:before="40" w:after="80"/>
              <w:ind w:left="0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Focus: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Defining the "How" — architecture, patterns, and component interactions.</w:t>
            </w:r>
          </w:p>
        </w:tc>
        <w:tc>
          <w:tcPr>
            <w:tcW w:type="dxa" w:w="2592"/>
            <w:shd w:val="clear" w:color="auto" w:fill="D6E8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</w:r>
          </w:p>
        </w:tc>
      </w:tr>
      <w:tr>
        <w:tc>
          <w:tcPr>
            <w:tcW w:type="dxa" w:w="6912"/>
            <w:shd w:val="clear" w:color="auto" w:fill="FFFFFF"/>
          </w:tcPr>
          <w:p/>
          <w:p>
            <w:pPr>
              <w:spacing w:before="60" w:after="20"/>
              <w:ind w:left="144"/>
            </w:pPr>
            <w:r>
              <w:rPr>
                <w:rFonts w:ascii="Times New Roman" w:hAnsi="Times New Roman"/>
                <w:b/>
                <w:i w:val="0"/>
                <w:sz w:val="22"/>
              </w:rPr>
              <w:t>●  Week 5: Interaction Modeling</w:t>
            </w:r>
          </w:p>
          <w:p>
            <w:pPr>
              <w:spacing w:before="20" w:after="6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○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UML Deliverable — Sequence Diagram: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Detailed logic showing how objects communicate over time to fulfill a use case.</w:t>
            </w:r>
          </w:p>
        </w:tc>
        <w:tc>
          <w:tcPr>
            <w:tcW w:type="dxa" w:w="2592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  <w:t>16–21 February</w:t>
              <w:br/>
              <w:t>2026</w:t>
            </w:r>
          </w:p>
        </w:tc>
      </w:tr>
      <w:tr>
        <w:tc>
          <w:tcPr>
            <w:tcW w:type="dxa" w:w="6912"/>
            <w:shd w:val="clear" w:color="auto" w:fill="FFFFFF"/>
          </w:tcPr>
          <w:p/>
          <w:p>
            <w:pPr>
              <w:spacing w:before="60" w:after="20"/>
              <w:ind w:left="144"/>
            </w:pPr>
            <w:r>
              <w:rPr>
                <w:rFonts w:ascii="Times New Roman" w:hAnsi="Times New Roman"/>
                <w:b/>
                <w:i w:val="0"/>
                <w:sz w:val="22"/>
              </w:rPr>
              <w:t>●  Week 6: Detailed Class Design &amp; Packaging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○  Apply SOLID principles and Design Patterns.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○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UML Deliverables: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   ■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Detailed Class Diagram: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Including methods, visibility, and interfaces.</w:t>
            </w:r>
          </w:p>
          <w:p>
            <w:pPr>
              <w:spacing w:before="20" w:after="6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   ■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Package Diagram: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Organizing classes into logical modules/subsystems.</w:t>
            </w:r>
          </w:p>
        </w:tc>
        <w:tc>
          <w:tcPr>
            <w:tcW w:type="dxa" w:w="2592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  <w:t>23–28 February</w:t>
              <w:br/>
              <w:t>2026</w:t>
            </w:r>
          </w:p>
        </w:tc>
      </w:tr>
      <w:tr>
        <w:tc>
          <w:tcPr>
            <w:tcW w:type="dxa" w:w="6912"/>
            <w:shd w:val="clear" w:color="auto" w:fill="FFFFFF"/>
          </w:tcPr>
          <w:p/>
          <w:p>
            <w:pPr>
              <w:spacing w:before="60" w:after="20"/>
              <w:ind w:left="144"/>
            </w:pPr>
            <w:r>
              <w:rPr>
                <w:rFonts w:ascii="Times New Roman" w:hAnsi="Times New Roman"/>
                <w:b/>
                <w:i w:val="0"/>
                <w:sz w:val="22"/>
              </w:rPr>
              <w:t>●  Week 7: System Architecture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○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UML Deliverables: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   ■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Component Diagram: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Visualizing physical modules (API, Database, UI).</w:t>
            </w:r>
          </w:p>
          <w:p>
            <w:pPr>
              <w:spacing w:before="20" w:after="6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   ■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Deployment Diagram: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Mapping software components to hardware/nodes (Cloud, Servers).</w:t>
            </w:r>
          </w:p>
        </w:tc>
        <w:tc>
          <w:tcPr>
            <w:tcW w:type="dxa" w:w="2592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  <w:t>02–07 March</w:t>
              <w:br/>
              <w:t>2026</w:t>
            </w:r>
          </w:p>
        </w:tc>
      </w:tr>
      <w:tr>
        <w:tc>
          <w:tcPr>
            <w:tcW w:type="dxa" w:w="6912"/>
            <w:shd w:val="clear" w:color="auto" w:fill="D6E8FF"/>
          </w:tcPr>
          <w:p/>
          <w:p>
            <w:pPr>
              <w:spacing w:before="80" w:after="40"/>
              <w:ind w:left="0"/>
            </w:pPr>
            <w:r>
              <w:rPr>
                <w:rFonts w:ascii="Times New Roman" w:hAnsi="Times New Roman"/>
                <w:b/>
                <w:i w:val="0"/>
                <w:sz w:val="23"/>
              </w:rPr>
              <w:t>Phase 4: Implementation &amp; CI/CD Integration (Weeks 8–10)</w:t>
            </w:r>
          </w:p>
          <w:p>
            <w:pPr>
              <w:spacing w:before="40" w:after="80"/>
              <w:ind w:left="0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Focus: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Coding, version control, and automated pipelines.</w:t>
            </w:r>
          </w:p>
        </w:tc>
        <w:tc>
          <w:tcPr>
            <w:tcW w:type="dxa" w:w="2592"/>
            <w:shd w:val="clear" w:color="auto" w:fill="D6E8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</w:r>
          </w:p>
        </w:tc>
      </w:tr>
      <w:tr>
        <w:tc>
          <w:tcPr>
            <w:tcW w:type="dxa" w:w="6912"/>
            <w:shd w:val="clear" w:color="auto" w:fill="FFFFFF"/>
          </w:tcPr>
          <w:p/>
          <w:p>
            <w:pPr>
              <w:spacing w:before="60" w:after="20"/>
              <w:ind w:left="144"/>
            </w:pPr>
            <w:r>
              <w:rPr>
                <w:rFonts w:ascii="Times New Roman" w:hAnsi="Times New Roman"/>
                <w:b/>
                <w:i w:val="0"/>
                <w:sz w:val="22"/>
              </w:rPr>
              <w:t>●  Week 8: Sprint 1 — Core Features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○  Develop core logic based on the Class and Sequence diagrams.</w:t>
            </w:r>
          </w:p>
          <w:p>
            <w:pPr>
              <w:spacing w:before="20" w:after="6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○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Git Strategy: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Use branching (Feature branches → Develop → Main).</w:t>
            </w:r>
          </w:p>
        </w:tc>
        <w:tc>
          <w:tcPr>
            <w:tcW w:type="dxa" w:w="2592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  <w:t>09–14 March</w:t>
              <w:br/>
              <w:t>2026</w:t>
            </w:r>
          </w:p>
        </w:tc>
      </w:tr>
      <w:tr>
        <w:tc>
          <w:tcPr>
            <w:tcW w:type="dxa" w:w="6912"/>
            <w:shd w:val="clear" w:color="auto" w:fill="FFFFFF"/>
          </w:tcPr>
          <w:p/>
          <w:p>
            <w:pPr>
              <w:spacing w:before="60" w:after="20"/>
              <w:ind w:left="144"/>
            </w:pPr>
            <w:r>
              <w:rPr>
                <w:rFonts w:ascii="Times New Roman" w:hAnsi="Times New Roman"/>
                <w:b/>
                <w:i w:val="0"/>
                <w:sz w:val="22"/>
              </w:rPr>
              <w:t>●  Week 9: CI/CD Pipeline Setup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○  Configure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GitHub Actions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or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GitLab CI.</w:t>
            </w:r>
          </w:p>
          <w:p>
            <w:pPr>
              <w:spacing w:before="20" w:after="6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○  Automate build triggers on every git push.</w:t>
            </w:r>
          </w:p>
        </w:tc>
        <w:tc>
          <w:tcPr>
            <w:tcW w:type="dxa" w:w="2592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  <w:t>16–21 March</w:t>
              <w:br/>
              <w:t>2026</w:t>
            </w:r>
          </w:p>
        </w:tc>
      </w:tr>
      <w:tr>
        <w:tc>
          <w:tcPr>
            <w:tcW w:type="dxa" w:w="6912"/>
            <w:shd w:val="clear" w:color="auto" w:fill="FFFFFF"/>
          </w:tcPr>
          <w:p/>
          <w:p>
            <w:pPr>
              <w:spacing w:before="60" w:after="20"/>
              <w:ind w:left="144"/>
            </w:pPr>
            <w:r>
              <w:rPr>
                <w:rFonts w:ascii="Times New Roman" w:hAnsi="Times New Roman"/>
                <w:b/>
                <w:i w:val="0"/>
                <w:sz w:val="22"/>
              </w:rPr>
              <w:t>●  Week 10: Sprint 2 — Integration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○  Develop UI and connect to the database.</w:t>
            </w:r>
          </w:p>
          <w:p>
            <w:pPr>
              <w:spacing w:before="20" w:after="6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○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Jira: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Move stories to "In Progress" and "Testing."</w:t>
            </w:r>
          </w:p>
        </w:tc>
        <w:tc>
          <w:tcPr>
            <w:tcW w:type="dxa" w:w="2592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  <w:t>23–28 March</w:t>
              <w:br/>
              <w:t>2026</w:t>
            </w:r>
          </w:p>
        </w:tc>
      </w:tr>
      <w:tr>
        <w:tc>
          <w:tcPr>
            <w:tcW w:type="dxa" w:w="6912"/>
            <w:shd w:val="clear" w:color="auto" w:fill="D6E8FF"/>
          </w:tcPr>
          <w:p/>
          <w:p>
            <w:pPr>
              <w:spacing w:before="80" w:after="40"/>
              <w:ind w:left="0"/>
            </w:pPr>
            <w:r>
              <w:rPr>
                <w:rFonts w:ascii="Times New Roman" w:hAnsi="Times New Roman"/>
                <w:b/>
                <w:i w:val="0"/>
                <w:sz w:val="23"/>
              </w:rPr>
              <w:t>Phase 5: Testing &amp; Deployment (Weeks 11–12)</w:t>
            </w:r>
          </w:p>
          <w:p>
            <w:pPr>
              <w:spacing w:before="40" w:after="80"/>
              <w:ind w:left="0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Focus: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Quality assurance and final delivery.</w:t>
            </w:r>
          </w:p>
        </w:tc>
        <w:tc>
          <w:tcPr>
            <w:tcW w:type="dxa" w:w="2592"/>
            <w:shd w:val="clear" w:color="auto" w:fill="D6E8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</w:r>
          </w:p>
        </w:tc>
      </w:tr>
      <w:tr>
        <w:tc>
          <w:tcPr>
            <w:tcW w:type="dxa" w:w="6912"/>
            <w:shd w:val="clear" w:color="auto" w:fill="FFFFFF"/>
          </w:tcPr>
          <w:p/>
          <w:p>
            <w:pPr>
              <w:spacing w:before="60" w:after="20"/>
              <w:ind w:left="144"/>
            </w:pPr>
            <w:r>
              <w:rPr>
                <w:rFonts w:ascii="Times New Roman" w:hAnsi="Times New Roman"/>
                <w:b/>
                <w:i w:val="0"/>
                <w:sz w:val="22"/>
              </w:rPr>
              <w:t>●  Week 11: Testing Phase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○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Unit Testing: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(JUnit, PyTest) ensuring methods work as intended.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○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Integration Testing: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Testing the flow between components.</w:t>
            </w:r>
          </w:p>
          <w:p>
            <w:pPr>
              <w:spacing w:before="20" w:after="6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○  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Tooling: 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Integrate test reports into the CI/CD pipeline.</w:t>
            </w:r>
          </w:p>
        </w:tc>
        <w:tc>
          <w:tcPr>
            <w:tcW w:type="dxa" w:w="2592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  <w:t>30 March–</w:t>
              <w:br/>
              <w:t>04 April 2026</w:t>
            </w:r>
          </w:p>
        </w:tc>
      </w:tr>
      <w:tr>
        <w:tc>
          <w:tcPr>
            <w:tcW w:type="dxa" w:w="6912"/>
            <w:shd w:val="clear" w:color="auto" w:fill="FFFFFF"/>
          </w:tcPr>
          <w:p/>
          <w:p>
            <w:pPr>
              <w:spacing w:before="60" w:after="20"/>
              <w:ind w:left="144"/>
            </w:pPr>
            <w:r>
              <w:rPr>
                <w:rFonts w:ascii="Times New Roman" w:hAnsi="Times New Roman"/>
                <w:b/>
                <w:i w:val="0"/>
                <w:sz w:val="22"/>
              </w:rPr>
              <w:t>●  Week 12: Deployment &amp; Final Review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○  Finalize the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Deployment Diagram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to match the production environment.</w:t>
            </w:r>
          </w:p>
          <w:p>
            <w:pPr>
              <w:spacing w:before="20" w:after="2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○  Deploy to staging/production (Heroku, AWS, or Azure).</w:t>
            </w:r>
          </w:p>
          <w:p>
            <w:pPr>
              <w:spacing w:before="20" w:after="60"/>
              <w:ind w:left="432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○  Project Demo and handover.</w:t>
            </w:r>
          </w:p>
        </w:tc>
        <w:tc>
          <w:tcPr>
            <w:tcW w:type="dxa" w:w="2592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3C78"/>
                <w:sz w:val="19"/>
              </w:rPr>
              <w:t>06–11 April</w:t>
              <w:br/>
              <w:t>2026</w:t>
            </w:r>
          </w:p>
        </w:tc>
      </w:tr>
    </w:tbl>
    <w:p>
      <w:r>
        <w:br w:type="page"/>
      </w:r>
    </w:p>
    <w:p>
      <w:pPr>
        <w:spacing w:before="120" w:after="80"/>
        <w:jc w:val="left"/>
      </w:pPr>
      <w:r>
        <w:rPr>
          <w:rFonts w:ascii="Times New Roman" w:hAnsi="Times New Roman"/>
          <w:b/>
          <w:i w:val="0"/>
          <w:color w:val="003C78"/>
          <w:sz w:val="28"/>
        </w:rPr>
        <w:t>4. CI/CD Pipeline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The project uses GitHub Actions for continuous integration. On every git push to the main branch, the pipeline automatically runs tests (PyTest), validates imports, and deploys to the staging environment.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d_pipeline_177781057807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/>
          <w:color w:val="646464"/>
          <w:sz w:val="18"/>
        </w:rPr>
        <w:t>Figure 6: CI/CD Pipeline — Automated Build, Test &amp; Deploy Flow</w:t>
      </w:r>
    </w:p>
    <w:p>
      <w:pPr>
        <w:spacing w:before="0" w:after="8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color w:val="005096"/>
          <w:sz w:val="24"/>
        </w:rPr>
        <w:t>4.1  Git Branching Strategy</w:t>
      </w:r>
    </w:p>
    <w:p>
      <w:pPr>
        <w:ind w:left="432"/>
      </w:pPr>
      <w:r>
        <w:rPr>
          <w:rFonts w:ascii="Times New Roman" w:hAnsi="Times New Roman"/>
          <w:b w:val="0"/>
          <w:i w:val="0"/>
          <w:sz w:val="22"/>
        </w:rPr>
        <w:t>● main — Production-ready code only</w:t>
      </w:r>
    </w:p>
    <w:p>
      <w:pPr>
        <w:ind w:left="432"/>
      </w:pPr>
      <w:r>
        <w:rPr>
          <w:rFonts w:ascii="Times New Roman" w:hAnsi="Times New Roman"/>
          <w:b w:val="0"/>
          <w:i w:val="0"/>
          <w:sz w:val="22"/>
        </w:rPr>
        <w:t>● develop — Integration branch for tested features</w:t>
      </w:r>
    </w:p>
    <w:p>
      <w:pPr>
        <w:ind w:left="432"/>
      </w:pPr>
      <w:r>
        <w:rPr>
          <w:rFonts w:ascii="Times New Roman" w:hAnsi="Times New Roman"/>
          <w:b w:val="0"/>
          <w:i w:val="0"/>
          <w:sz w:val="22"/>
        </w:rPr>
        <w:t>● feature/* — Individual feature development branches</w:t>
      </w:r>
    </w:p>
    <w:p>
      <w:r>
        <w:br w:type="page"/>
      </w:r>
    </w:p>
    <w:p>
      <w:pPr>
        <w:spacing w:before="120" w:after="80"/>
        <w:jc w:val="left"/>
      </w:pPr>
      <w:r>
        <w:rPr>
          <w:rFonts w:ascii="Times New Roman" w:hAnsi="Times New Roman"/>
          <w:b/>
          <w:i w:val="0"/>
          <w:color w:val="003C78"/>
          <w:sz w:val="28"/>
        </w:rPr>
        <w:t>5. Project Folder Structure</w:t>
      </w:r>
    </w:p>
    <w:p>
      <w:pPr>
        <w:spacing w:before="20" w:after="20"/>
        <w:ind w:left="432"/>
      </w:pPr>
      <w:r>
        <w:rPr>
          <w:rFonts w:ascii="Courier New" w:hAnsi="Courier New"/>
          <w:b/>
          <w:sz w:val="20"/>
        </w:rPr>
        <w:t>GapLens/</w:t>
      </w:r>
    </w:p>
    <w:p>
      <w:pPr>
        <w:spacing w:before="20" w:after="20"/>
        <w:ind w:left="432"/>
      </w:pPr>
      <w:r>
        <w:rPr>
          <w:rFonts w:ascii="Courier New" w:hAnsi="Courier New"/>
          <w:b w:val="0"/>
          <w:sz w:val="20"/>
        </w:rPr>
        <w:t>├── run.py              ← Entry point</w:t>
      </w:r>
    </w:p>
    <w:p>
      <w:pPr>
        <w:spacing w:before="20" w:after="20"/>
        <w:ind w:left="432"/>
      </w:pPr>
      <w:r>
        <w:rPr>
          <w:rFonts w:ascii="Courier New" w:hAnsi="Courier New"/>
          <w:b w:val="0"/>
          <w:sz w:val="20"/>
        </w:rPr>
        <w:t>├── main/app.py         ← Flask app factory</w:t>
      </w:r>
    </w:p>
    <w:p>
      <w:pPr>
        <w:spacing w:before="20" w:after="20"/>
        <w:ind w:left="432"/>
      </w:pPr>
      <w:r>
        <w:rPr>
          <w:rFonts w:ascii="Courier New" w:hAnsi="Courier New"/>
          <w:b w:val="0"/>
          <w:sz w:val="20"/>
        </w:rPr>
        <w:t>├── other/              ← config.py, extensions.py</w:t>
      </w:r>
    </w:p>
    <w:p>
      <w:pPr>
        <w:spacing w:before="20" w:after="20"/>
        <w:ind w:left="432"/>
      </w:pPr>
      <w:r>
        <w:rPr>
          <w:rFonts w:ascii="Courier New" w:hAnsi="Courier New"/>
          <w:b w:val="0"/>
          <w:sz w:val="20"/>
        </w:rPr>
        <w:t>├── routes/             ← auth, student, recruiter, admin, diagnostic, resume</w:t>
      </w:r>
    </w:p>
    <w:p>
      <w:pPr>
        <w:spacing w:before="20" w:after="20"/>
        <w:ind w:left="432"/>
      </w:pPr>
      <w:r>
        <w:rPr>
          <w:rFonts w:ascii="Courier New" w:hAnsi="Courier New"/>
          <w:b w:val="0"/>
          <w:sz w:val="20"/>
        </w:rPr>
        <w:t>├── core/               ← utils.py, seed_questions.py</w:t>
      </w:r>
    </w:p>
    <w:p>
      <w:pPr>
        <w:spacing w:before="20" w:after="20"/>
        <w:ind w:left="432"/>
      </w:pPr>
      <w:r>
        <w:rPr>
          <w:rFonts w:ascii="Courier New" w:hAnsi="Courier New"/>
          <w:b w:val="0"/>
          <w:sz w:val="20"/>
        </w:rPr>
        <w:t>├── static/css/         ← style.css</w:t>
      </w:r>
    </w:p>
    <w:p>
      <w:pPr>
        <w:spacing w:before="20" w:after="20"/>
        <w:ind w:left="432"/>
      </w:pPr>
      <w:r>
        <w:rPr>
          <w:rFonts w:ascii="Courier New" w:hAnsi="Courier New"/>
          <w:b w:val="0"/>
          <w:sz w:val="20"/>
        </w:rPr>
        <w:t>├── static/img/         ← logo.png</w:t>
      </w:r>
    </w:p>
    <w:p>
      <w:pPr>
        <w:spacing w:before="20" w:after="20"/>
        <w:ind w:left="432"/>
      </w:pPr>
      <w:r>
        <w:rPr>
          <w:rFonts w:ascii="Courier New" w:hAnsi="Courier New"/>
          <w:b w:val="0"/>
          <w:sz w:val="20"/>
        </w:rPr>
        <w:t>├── templates/          ← base.html, auth/, student/, recruiter/, admin/, test/</w:t>
      </w:r>
    </w:p>
    <w:p>
      <w:pPr>
        <w:spacing w:before="20" w:after="20"/>
        <w:ind w:left="432"/>
      </w:pPr>
      <w:r>
        <w:rPr>
          <w:rFonts w:ascii="Courier New" w:hAnsi="Courier New"/>
          <w:b w:val="0"/>
          <w:sz w:val="20"/>
        </w:rPr>
        <w:t>└── docs/               ← Project_Documentation.md, GapLens_Project_Plan.docx</w:t>
      </w:r>
    </w:p>
    <w:p>
      <w:pPr>
        <w:spacing w:before="0" w:after="80"/>
        <w:jc w:val="left"/>
      </w:pPr>
    </w:p>
    <w:p>
      <w:pPr>
        <w:spacing w:before="200" w:after="120"/>
        <w:jc w:val="left"/>
      </w:pPr>
      <w:r>
        <w:rPr>
          <w:rFonts w:ascii="Times New Roman" w:hAnsi="Times New Roman"/>
          <w:b/>
          <w:i w:val="0"/>
          <w:color w:val="003C78"/>
          <w:sz w:val="28"/>
        </w:rPr>
        <w:t>6.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Layer</w:t>
            </w:r>
          </w:p>
        </w:tc>
        <w:tc>
          <w:tcPr>
            <w:tcW w:type="dxa" w:w="3135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Technology</w:t>
            </w:r>
          </w:p>
        </w:tc>
        <w:tc>
          <w:tcPr>
            <w:tcW w:type="dxa" w:w="3135"/>
            <w:shd w:val="clear" w:color="auto"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Backend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Flask (Python 3.14)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Web framework with Blueprint modular routing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Database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MongoDB + GridFS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NoSQL storage for users, results, resumes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Auth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Google OAuth (Authlib)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Single Sign-On + local session management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AI / ML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Google Gemini AI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Skill gap analysis and AI insights generation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Recommendations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YouTube Data API v3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Fetch curated learning videos per skill gap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Frontend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Tailwind CSS + Jinja2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Responsive UI with dark/light mode support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Deployment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GitHub + Heroku / AWS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Version control and cloud deployment</w:t>
            </w:r>
          </w:p>
        </w:tc>
      </w:tr>
    </w:tbl>
    <w:p>
      <w:pPr>
        <w:spacing w:before="0" w:after="80"/>
        <w:jc w:val="left"/>
      </w:pPr>
    </w:p>
    <w:p>
      <w:pPr>
        <w:spacing w:before="0" w:after="80"/>
        <w:jc w:val="left"/>
      </w:pP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color w:val="969696"/>
          <w:sz w:val="18"/>
        </w:rPr>
        <w:t>GapLens Platform  •  Minor Project Documentation  •  SVIIT  • 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