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E3FA" w14:textId="77777777" w:rsidR="00537342" w:rsidRDefault="00537342" w:rsidP="005373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Key challenges in multiple disease prediction include:</w:t>
      </w:r>
    </w:p>
    <w:p w14:paraId="3163AB90" w14:textId="77777777" w:rsidR="00537342" w:rsidRDefault="00537342" w:rsidP="0053734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Data Complexity: Integrating and analyzing diverse data types, including structured and unstructured data, from various sources such as electronic health records, medical imaging, genetic profiles, and wearable devices.</w:t>
      </w:r>
    </w:p>
    <w:p w14:paraId="57B98090" w14:textId="77777777" w:rsidR="00537342" w:rsidRDefault="00537342" w:rsidP="0053734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Disease Interactions: Capturing the complex interactions and dependencies between different diseases, considering that the presence of one disease may affect the occurrence or progression of others.</w:t>
      </w:r>
    </w:p>
    <w:p w14:paraId="0285F892" w14:textId="77777777" w:rsidR="00537342" w:rsidRDefault="00537342" w:rsidP="0053734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Imbalanced Data: Handling imbalanced datasets where the occurrence of certain diseases may be rare, leading to skewed distributions that can affect the performance of machine learning models.</w:t>
      </w:r>
    </w:p>
    <w:p w14:paraId="689DADDD" w14:textId="77777777" w:rsidR="00537342" w:rsidRDefault="00537342" w:rsidP="0053734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Feature Selection: Identifying the most relevant and informative features from a wide range of potential predictors, including demographic factors, medical history, clinical measurements, and genetic markers.</w:t>
      </w:r>
    </w:p>
    <w:p w14:paraId="0423D34E" w14:textId="77777777" w:rsidR="00537342" w:rsidRDefault="00537342" w:rsidP="0053734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Model Interpretability: Ensuring the interpretability and </w:t>
      </w:r>
      <w:proofErr w:type="spellStart"/>
      <w:r>
        <w:rPr>
          <w:rFonts w:ascii="Segoe UI" w:hAnsi="Segoe UI" w:cs="Segoe UI"/>
          <w:color w:val="374151"/>
        </w:rPr>
        <w:t>explainability</w:t>
      </w:r>
      <w:proofErr w:type="spellEnd"/>
      <w:r>
        <w:rPr>
          <w:rFonts w:ascii="Segoe UI" w:hAnsi="Segoe UI" w:cs="Segoe UI"/>
          <w:color w:val="374151"/>
        </w:rPr>
        <w:t xml:space="preserve"> of the machine learning models used for prediction to gain trust and acceptance from healthcare professionals and patients.</w:t>
      </w:r>
    </w:p>
    <w:p w14:paraId="6D6DFD8C" w14:textId="77777777" w:rsidR="00537342" w:rsidRDefault="00537342" w:rsidP="0053734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Scalability and Real-time Prediction: Developing models that can handle large-scale datasets efficiently and provide real-time predictions to support timely interventions and decision-making.</w:t>
      </w:r>
    </w:p>
    <w:p w14:paraId="5305308B" w14:textId="77777777" w:rsidR="006E42ED" w:rsidRDefault="00537342"/>
    <w:sectPr w:rsidR="006E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96111"/>
    <w:multiLevelType w:val="multilevel"/>
    <w:tmpl w:val="3E2E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44"/>
    <w:rsid w:val="00244A44"/>
    <w:rsid w:val="00331D8B"/>
    <w:rsid w:val="003C7C51"/>
    <w:rsid w:val="00537342"/>
    <w:rsid w:val="00B9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ED66C-B0B3-472F-A43A-DD5C0F64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</dc:creator>
  <cp:keywords/>
  <dc:description/>
  <cp:lastModifiedBy>Others</cp:lastModifiedBy>
  <cp:revision>2</cp:revision>
  <dcterms:created xsi:type="dcterms:W3CDTF">2023-05-24T12:26:00Z</dcterms:created>
  <dcterms:modified xsi:type="dcterms:W3CDTF">2023-05-24T12:27:00Z</dcterms:modified>
</cp:coreProperties>
</file>