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pPr>
        <w:pStyle w:val="Heading2"/>
      </w:pPr>
      <w:r>
        <w:t>Summary</w:t>
      </w:r>
    </w:p>
    <w:p>
      <w:r>
        <w:t xml:space="preserve">Revenue grew by 12.5% this quarter. </w:t>
      </w:r>
      <w:r>
        <w:rPr>
          <w:b/>
        </w:rPr>
        <w:t>Margins held steady</w:t>
      </w:r>
      <w:r>
        <w:t xml:space="preserve"> across all regions.</w:t>
      </w:r>
    </w:p>
    <w:p>
      <w:pPr>
        <w:pStyle w:val="ListBullet"/>
      </w:pPr>
      <w:r>
        <w:t>North region: up 8%</w:t>
      </w:r>
    </w:p>
    <w:p>
      <w:pPr>
        <w:pStyle w:val="ListBullet"/>
      </w:pPr>
      <w:r>
        <w:t>South region: up 15%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Growth</w:t>
            </w:r>
          </w:p>
        </w:tc>
      </w:tr>
      <w:tr>
        <w:tc>
          <w:tcPr>
            <w:tcW w:type="dxa" w:w="4320"/>
          </w:tcPr>
          <w:p>
            <w:r>
              <w:t>North</w:t>
            </w:r>
          </w:p>
        </w:tc>
        <w:tc>
          <w:tcPr>
            <w:tcW w:type="dxa" w:w="4320"/>
          </w:tcPr>
          <w:p>
            <w:r>
              <w:t>8%</w:t>
            </w:r>
          </w:p>
        </w:tc>
      </w:tr>
      <w:tr>
        <w:tc>
          <w:tcPr>
            <w:tcW w:type="dxa" w:w="4320"/>
          </w:tcPr>
          <w:p>
            <w:r>
              <w:t>South</w:t>
            </w:r>
          </w:p>
        </w:tc>
        <w:tc>
          <w:tcPr>
            <w:tcW w:type="dxa" w:w="4320"/>
          </w:tcPr>
          <w:p>
            <w:r>
              <w:t>15%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