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A nehézségi gyorsulás értékének meghatározása a</w:t>
      </w:r>
    </w:p>
    <w:p>
      <w:pPr>
        <w:pStyle w:val="Normal"/>
        <w:bidi w:val="0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matematikai inga lengésének vizsgálatával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Ancsin Ádám, 11. osztályos tanuló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  <w:t>Budapest, Budapesti Fazekas Mihály Gy. Gimnázium</w:t>
      </w:r>
    </w:p>
    <w:p>
      <w:pPr>
        <w:pStyle w:val="Normal"/>
        <w:bidi w:val="0"/>
        <w:jc w:val="left"/>
        <w:rPr/>
      </w:pPr>
      <w:r>
        <w:rPr>
          <w:color w:val="3465A4"/>
        </w:rPr>
        <w:t>adam.ancsin1@gmail.com</w:t>
      </w:r>
    </w:p>
    <w:p>
      <w:pPr>
        <w:pStyle w:val="Normal"/>
        <w:bidi w:val="0"/>
        <w:jc w:val="left"/>
        <w:rPr>
          <w:color w:val="3465A4"/>
        </w:rPr>
      </w:pPr>
      <w:r>
        <w:rPr>
          <w:color w:val="3465A4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Feladat:</w:t>
      </w:r>
    </w:p>
    <w:p>
      <w:pPr>
        <w:pStyle w:val="Normal"/>
        <w:bidi w:val="0"/>
        <w:jc w:val="both"/>
        <w:rPr/>
      </w:pPr>
      <w:r>
        <w:rPr/>
        <w:t>„</w:t>
      </w:r>
      <w:r>
        <w:rPr/>
        <w:t>Igazolja mérésekkel, hogy viszonylag kis amplitudók esetén a matematikai inga lengésideje nem függ sem az inga szögkitérésétől, sem a kis méretű ingatest tömegétől. A matematikai inga lengésidejének mérésére alapozva határozza meg a nehézségi gyorsulás értékét.”</w:t>
      </w:r>
    </w:p>
    <w:p>
      <w:pPr>
        <w:pStyle w:val="Normal"/>
        <w:bidi w:val="0"/>
        <w:jc w:val="right"/>
        <w:rPr>
          <w:i/>
          <w:i/>
          <w:iCs/>
        </w:rPr>
      </w:pPr>
      <w:r>
        <w:rPr>
          <w:i/>
          <w:iCs/>
        </w:rPr>
        <w:t xml:space="preserve">Dr. </w:t>
      </w:r>
      <w:r>
        <w:rPr>
          <w:i/>
          <w:iCs/>
        </w:rPr>
        <w:t>Nagy Piroska Mária által adva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 leírása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</w:r>
      <w:r>
        <w:rPr>
          <w:i w:val="false"/>
          <w:iCs w:val="false"/>
          <w:sz w:val="22"/>
          <w:szCs w:val="22"/>
          <w:u w:val="none"/>
        </w:rPr>
        <w:t>Öt különböző hosszúságú fonállal épített matematikai inga lengésének vizsgálata. Ehhez először azonos fonálhosszal vett kísérletekkel szükséges megállapításokat tenni.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2"/>
          <w:szCs w:val="22"/>
          <w:u w:val="none"/>
        </w:rPr>
        <w:tab/>
        <w:t>Az inga lengésidejének változását az inga (kezdő) kitérésétől való függésének meghatározásához, 3 (kismértékű), de eltérő szögű kitérést vizsgálunk. Ezáltal megállapítjuk, hogy a lengésidő nem függ az inga kitérésétől. Hasonlóan, azonos fonálhosszal határozható meg, az ingára egység tömegű testet, majd kétszer akkora tömegű testet akasztva, hogy a lengő test tömegétől sem függ a lengésidő.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2"/>
          <w:szCs w:val="22"/>
          <w:u w:val="none"/>
        </w:rPr>
        <w:tab/>
        <w:t>Így az inga kitérésétől és a rajta lengő test tömegétől függetlenül vizsgálható hogyan függ az inga fonalának hosszától a lengésidő.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méréshez használt eszközök</w:t>
      </w:r>
      <w:r>
        <w:rPr>
          <w:i/>
          <w:iCs/>
          <w:u w:val="none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>méterrúd – távolság mérésére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>telefon – időeltérés mérésére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>inga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 xml:space="preserve">talpas fém rúd – </w:t>
      </w:r>
      <w:r>
        <w:rPr>
          <w:i/>
          <w:iCs/>
          <w:sz w:val="22"/>
          <w:szCs w:val="22"/>
          <w:u w:val="none"/>
        </w:rPr>
        <w:t>ingaállvány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 xml:space="preserve">fonál – </w:t>
      </w:r>
      <w:r>
        <w:rPr>
          <w:i/>
          <w:iCs/>
          <w:sz w:val="22"/>
          <w:szCs w:val="22"/>
          <w:u w:val="none"/>
        </w:rPr>
        <w:t>ingakötél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2"/>
          <w:szCs w:val="22"/>
        </w:rPr>
      </w:pPr>
      <w:r>
        <w:rPr>
          <w:i w:val="false"/>
          <w:iCs w:val="false"/>
          <w:sz w:val="22"/>
          <w:szCs w:val="22"/>
          <w:u w:val="none"/>
        </w:rPr>
        <w:t xml:space="preserve">50g-os súlyok – </w:t>
      </w:r>
      <w:r>
        <w:rPr>
          <w:i/>
          <w:iCs/>
          <w:sz w:val="22"/>
          <w:szCs w:val="22"/>
          <w:u w:val="none"/>
        </w:rPr>
        <w:t>ingatest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mérések</w:t>
      </w:r>
      <w:r>
        <w:rPr>
          <w:i/>
          <w:iCs/>
          <w:u w:val="none"/>
        </w:rPr>
        <w:t>:</w:t>
      </w:r>
      <w:r>
        <w:rPr>
          <w:i w:val="false"/>
          <w:iCs w:val="false"/>
          <w:u w:val="none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MÉRÉSSOROZAT (</w:t>
      </w:r>
      <w:r>
        <w:rPr>
          <w:b/>
          <w:bCs/>
          <w:i/>
          <w:iCs/>
          <w:sz w:val="24"/>
          <w:szCs w:val="24"/>
          <w:u w:val="none"/>
        </w:rPr>
        <w:t>kitérés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2"/>
          <w:szCs w:val="22"/>
          <w:u w:val="none"/>
        </w:rPr>
        <w:t>150cm-es fonálhossz esetén, 50 gramm tömegű ingatesttel mérjük 10 lengés idejét ~10°, ~15°, és ~20°-os kitéréssel 3-3 alkalommal a mérési hibáktól való függetlenedés érdekében.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bidi w:val="0"/>
        <w:jc w:val="both"/>
        <w:rPr/>
      </w:pPr>
      <w:r>
        <w:rPr>
          <w:i w:val="false"/>
          <w:iCs w:val="false"/>
          <w:sz w:val="22"/>
          <w:szCs w:val="22"/>
          <w:u w:val="none"/>
        </w:rPr>
        <w:t xml:space="preserve">A kitérés biztosításához háromszögfüggvényekkel számoltuk ki a fonál nyugvó állapotától való eltérés közelítő értékét ( </w:t>
      </w:r>
      <w:r>
        <w:rPr>
          <w:i/>
          <w:iCs/>
          <w:sz w:val="22"/>
          <w:szCs w:val="22"/>
          <w:u w:val="none"/>
        </w:rPr>
        <w:t>fonálhossz * tg(kitérés radiánban mérve) )</w:t>
      </w:r>
      <w:r>
        <w:rPr>
          <w:i w:val="false"/>
          <w:iCs w:val="false"/>
          <w:sz w:val="22"/>
          <w:szCs w:val="22"/>
          <w:u w:val="non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tbl>
      <w:tblPr>
        <w:tblW w:w="9920" w:type="dxa"/>
        <w:jc w:val="left"/>
        <w:tblInd w:w="-15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9"/>
        <w:gridCol w:w="2340"/>
        <w:gridCol w:w="2355"/>
        <w:gridCol w:w="2315"/>
      </w:tblGrid>
      <w:tr>
        <w:trPr/>
        <w:tc>
          <w:tcPr>
            <w:tcW w:w="2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10° ~26cm</w:t>
            </w:r>
          </w:p>
        </w:tc>
        <w:tc>
          <w:tcPr>
            <w:tcW w:w="23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15° ~40cm</w:t>
            </w:r>
          </w:p>
        </w:tc>
        <w:tc>
          <w:tcPr>
            <w:tcW w:w="23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20° ~ 55cm</w:t>
            </w:r>
          </w:p>
        </w:tc>
      </w:tr>
      <w:tr>
        <w:trPr/>
        <w:tc>
          <w:tcPr>
            <w:tcW w:w="2909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1., 2., 3. mérés (10T/10) [s]</w:t>
            </w:r>
          </w:p>
        </w:tc>
        <w:tc>
          <w:tcPr>
            <w:tcW w:w="2340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2,452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2,453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;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2,496</w:t>
            </w:r>
          </w:p>
        </w:tc>
        <w:tc>
          <w:tcPr>
            <w:tcW w:w="2355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2,510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2,428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2,474</w:t>
            </w:r>
          </w:p>
        </w:tc>
        <w:tc>
          <w:tcPr>
            <w:tcW w:w="2315" w:type="dxa"/>
            <w:tcBorders/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2,487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2,477</w:t>
            </w:r>
          </w:p>
        </w:tc>
      </w:tr>
      <w:tr>
        <w:trPr/>
        <w:tc>
          <w:tcPr>
            <w:tcW w:w="2909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mérések átlaga [s]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2,467</w:t>
            </w:r>
          </w:p>
        </w:tc>
        <w:tc>
          <w:tcPr>
            <w:tcW w:w="235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2,471</w:t>
            </w:r>
          </w:p>
        </w:tc>
        <w:tc>
          <w:tcPr>
            <w:tcW w:w="231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2,476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Az átlagok </w:t>
      </w:r>
      <w:r>
        <w:rPr>
          <w:b/>
          <w:bCs/>
          <w:i/>
          <w:iCs/>
          <w:sz w:val="22"/>
          <w:szCs w:val="22"/>
          <w:u w:val="none"/>
        </w:rPr>
        <w:t>átlaga: 2,471s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i/>
          <w:iCs/>
          <w:sz w:val="22"/>
          <w:szCs w:val="22"/>
          <w:u w:val="none"/>
        </w:rPr>
        <w:t xml:space="preserve">Az átlagok </w:t>
      </w:r>
      <w:r>
        <w:rPr>
          <w:b/>
          <w:bCs/>
          <w:i/>
          <w:iCs/>
          <w:sz w:val="22"/>
          <w:szCs w:val="22"/>
          <w:u w:val="none"/>
        </w:rPr>
        <w:t>szórása: 0,0038s (~0,15%)</w:t>
      </w:r>
    </w:p>
    <w:p>
      <w:pPr>
        <w:pStyle w:val="Normal"/>
        <w:bidi w:val="0"/>
        <w:jc w:val="left"/>
        <w:rPr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 szórás kis (relatív) mértéke alapján kimondható, hogy a lengésidő nem függ az ingafonál hosszától.</w:t>
      </w:r>
      <w:r>
        <w:br w:type="page"/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  <w:i w:val="false"/>
          <w:iCs w:val="false"/>
          <w:sz w:val="24"/>
          <w:szCs w:val="24"/>
          <w:u w:val="none"/>
        </w:rPr>
        <w:t>2. MÉRÉSSOROZAT (</w:t>
      </w:r>
      <w:r>
        <w:rPr>
          <w:b/>
          <w:bCs/>
          <w:i/>
          <w:iCs/>
          <w:sz w:val="24"/>
          <w:szCs w:val="24"/>
          <w:u w:val="none"/>
        </w:rPr>
        <w:t>ingatest tömege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150cm-es fonálhossz esetén 50 gramm, majd 100 gramm tömegű ingatesttel mérjük a lengésidőt.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Az előző méréssorozatból már megállapított, hogy 50 gramm esetén ez </w:t>
      </w:r>
      <w:r>
        <w:rPr>
          <w:b/>
          <w:bCs/>
          <w:i/>
          <w:iCs/>
          <w:sz w:val="22"/>
          <w:szCs w:val="22"/>
          <w:u w:val="none"/>
        </w:rPr>
        <w:t>~2,471s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-hoz közelít.</w:t>
      </w:r>
      <w:r>
        <w:rPr>
          <w:b/>
          <w:bCs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9921" w:type="dxa"/>
        <w:jc w:val="left"/>
        <w:tblInd w:w="-15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72"/>
        <w:gridCol w:w="1985"/>
        <w:gridCol w:w="4764"/>
      </w:tblGrid>
      <w:tr>
        <w:trPr>
          <w:trHeight w:val="300" w:hRule="atLeast"/>
        </w:trPr>
        <w:tc>
          <w:tcPr>
            <w:tcW w:w="31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50g</w:t>
            </w:r>
          </w:p>
        </w:tc>
        <w:tc>
          <w:tcPr>
            <w:tcW w:w="47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100g</w:t>
            </w:r>
          </w:p>
        </w:tc>
      </w:tr>
      <w:tr>
        <w:trPr>
          <w:trHeight w:val="300" w:hRule="atLeast"/>
        </w:trPr>
        <w:tc>
          <w:tcPr>
            <w:tcW w:w="317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1., 2., 3. mérés (10T/10) [s]</w:t>
            </w:r>
          </w:p>
        </w:tc>
        <w:tc>
          <w:tcPr>
            <w:tcW w:w="1985" w:type="dxa"/>
            <w:tcBorders/>
          </w:tcPr>
          <w:p>
            <w:pPr>
              <w:pStyle w:val="Tblzattartalom"/>
              <w:bidi w:val="0"/>
              <w:jc w:val="left"/>
              <w:rPr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korább szerepel</w:t>
            </w:r>
          </w:p>
        </w:tc>
        <w:tc>
          <w:tcPr>
            <w:tcW w:w="4764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2,456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2,483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2,464</w:t>
            </w:r>
          </w:p>
        </w:tc>
      </w:tr>
      <w:tr>
        <w:trPr>
          <w:trHeight w:val="300" w:hRule="atLeast"/>
        </w:trPr>
        <w:tc>
          <w:tcPr>
            <w:tcW w:w="317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mérések átlaga [s]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blzattartalom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2,471</w:t>
            </w:r>
          </w:p>
        </w:tc>
        <w:tc>
          <w:tcPr>
            <w:tcW w:w="4764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2,467</w:t>
            </w:r>
          </w:p>
        </w:tc>
      </w:tr>
    </w:tbl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18"/>
          <w:szCs w:val="18"/>
          <w:u w:val="none"/>
        </w:rPr>
        <w:t xml:space="preserve">A mérések </w:t>
      </w:r>
      <w:r>
        <w:rPr>
          <w:b/>
          <w:bCs/>
          <w:i/>
          <w:iCs/>
          <w:sz w:val="18"/>
          <w:szCs w:val="18"/>
          <w:u w:val="none"/>
        </w:rPr>
        <w:t>szórása: 0,011s (~0,46%)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Az 50 gramm és 100 gramm tömegű ingatesttel mért értékek kis eltér alapján kimondható, hogy a lengésidő nem függ az ingára akasztott test tömegétől.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3. MÉRÉSSOROZAT (</w:t>
      </w:r>
      <w:r>
        <w:rPr>
          <w:b/>
          <w:bCs/>
          <w:i/>
          <w:iCs/>
          <w:sz w:val="24"/>
          <w:szCs w:val="24"/>
          <w:u w:val="none"/>
        </w:rPr>
        <w:t>ingafonál hossza</w:t>
      </w:r>
      <w:r>
        <w:rPr>
          <w:b/>
          <w:bCs/>
          <w:i w:val="false"/>
          <w:iCs w:val="false"/>
          <w:sz w:val="24"/>
          <w:szCs w:val="24"/>
          <w:u w:val="none"/>
        </w:rPr>
        <w:t>)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Lengésidő mérése tetszőleges tömegű testtel (50 gramm) és kismértékű kitéréssel (~10°) 5 különböző hosszúságú ingafonállal.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21" w:type="dxa"/>
        <w:jc w:val="left"/>
        <w:tblInd w:w="-1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664"/>
        <w:gridCol w:w="1582"/>
        <w:gridCol w:w="1585"/>
        <w:gridCol w:w="1582"/>
        <w:gridCol w:w="1582"/>
      </w:tblGrid>
      <w:tr>
        <w:trPr/>
        <w:tc>
          <w:tcPr>
            <w:tcW w:w="19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150cm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125cm</w:t>
            </w:r>
          </w:p>
        </w:tc>
        <w:tc>
          <w:tcPr>
            <w:tcW w:w="15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103cm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78cm</w:t>
            </w:r>
          </w:p>
        </w:tc>
        <w:tc>
          <w:tcPr>
            <w:tcW w:w="1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65cm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1., 2., 3. mérés (10T/10) [s]</w:t>
            </w:r>
          </w:p>
        </w:tc>
        <w:tc>
          <w:tcPr>
            <w:tcW w:w="1664" w:type="dxa"/>
            <w:tcBorders/>
          </w:tcPr>
          <w:p>
            <w:pPr>
              <w:pStyle w:val="Tblzattartalom"/>
              <w:bidi w:val="0"/>
              <w:jc w:val="left"/>
              <w:rPr>
                <w:i/>
                <w:i/>
                <w:iCs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korább szerepel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2,257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2,267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2,271</w:t>
            </w:r>
          </w:p>
        </w:tc>
        <w:tc>
          <w:tcPr>
            <w:tcW w:w="1585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2,005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2,035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2,021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1,835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1,841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1,823</w:t>
            </w:r>
          </w:p>
        </w:tc>
        <w:tc>
          <w:tcPr>
            <w:tcW w:w="1582" w:type="dxa"/>
            <w:tcBorders/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1,616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1,633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;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 1,631</w:t>
            </w:r>
          </w:p>
        </w:tc>
      </w:tr>
      <w:tr>
        <w:trPr/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mérések átlaga [s]</w:t>
            </w:r>
          </w:p>
        </w:tc>
        <w:tc>
          <w:tcPr>
            <w:tcW w:w="1664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2,471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2,265</w:t>
            </w:r>
          </w:p>
        </w:tc>
        <w:tc>
          <w:tcPr>
            <w:tcW w:w="1585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2,020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1,833</w:t>
            </w:r>
          </w:p>
        </w:tc>
        <w:tc>
          <w:tcPr>
            <w:tcW w:w="1582" w:type="dxa"/>
            <w:tcBorders>
              <w:bottom w:val="single" w:sz="6" w:space="0" w:color="000000"/>
            </w:tcBorders>
          </w:tcPr>
          <w:p>
            <w:pPr>
              <w:pStyle w:val="Tblzattartalom"/>
              <w:bidi w:val="0"/>
              <w:jc w:val="left"/>
              <w:rPr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1,627</w:t>
            </w:r>
          </w:p>
        </w:tc>
      </w:tr>
    </w:tbl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nehézségi gyorsulás megállapítása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3286760</wp:posOffset>
            </wp:positionH>
            <wp:positionV relativeFrom="paragraph">
              <wp:posOffset>110490</wp:posOffset>
            </wp:positionV>
            <wp:extent cx="1075055" cy="62738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790" b="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>Ismert az alábbi összefügvés matematikai ingákra nézve: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1626235</wp:posOffset>
            </wp:positionH>
            <wp:positionV relativeFrom="paragraph">
              <wp:posOffset>30480</wp:posOffset>
            </wp:positionV>
            <wp:extent cx="971550" cy="4413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213" r="2922" b="4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Ebből levezethető, hogy </w:t>
      </w:r>
    </w:p>
    <w:p>
      <w:pPr>
        <w:pStyle w:val="Normal"/>
        <w:bidi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rPr>
          <w:sz w:val="22"/>
          <w:szCs w:val="22"/>
        </w:rPr>
      </w:pPr>
      <w:r>
        <w:rPr>
          <w:sz w:val="22"/>
          <w:szCs w:val="22"/>
          <w:u w:val="none"/>
        </w:rPr>
        <w:t>Mivel a legtöbb mérést 150cm-es fonállal végeztük; annak adatait helyettesítsük be:</w:t>
      </w:r>
    </w:p>
    <w:p>
      <w:pPr>
        <w:pStyle w:val="Normal"/>
        <w:bidi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2087245</wp:posOffset>
            </wp:positionH>
            <wp:positionV relativeFrom="paragraph">
              <wp:posOffset>78105</wp:posOffset>
            </wp:positionV>
            <wp:extent cx="1402715" cy="4914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4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  <w:u w:val="none"/>
        </w:rPr>
        <w:t xml:space="preserve">Így </w:t>
      </w:r>
      <w:r>
        <w:rPr>
          <w:b/>
          <w:bCs/>
          <w:sz w:val="22"/>
          <w:szCs w:val="22"/>
          <w:u w:val="none"/>
        </w:rPr>
        <w:t>~9,70m/s</w:t>
      </w:r>
      <w:r>
        <w:rPr>
          <w:b/>
          <w:bCs/>
          <w:sz w:val="22"/>
          <w:szCs w:val="22"/>
          <w:u w:val="none"/>
          <w:vertAlign w:val="superscript"/>
        </w:rPr>
        <w:t>2</w:t>
      </w:r>
      <w:r>
        <w:rPr>
          <w:position w:val="0"/>
          <w:sz w:val="22"/>
          <w:sz w:val="22"/>
          <w:szCs w:val="22"/>
          <w:u w:val="none"/>
          <w:vertAlign w:val="baseline"/>
        </w:rPr>
        <w:t xml:space="preserve">-es értéket kapunk. Ez közelítőleg megegyezik a Fazekas Mihály Gimnázium épületére az </w:t>
      </w:r>
      <w:r>
        <w:rPr>
          <w:i/>
          <w:iCs/>
          <w:position w:val="0"/>
          <w:sz w:val="22"/>
          <w:sz w:val="22"/>
          <w:szCs w:val="22"/>
          <w:u w:val="none"/>
          <w:vertAlign w:val="baseline"/>
        </w:rPr>
        <w:t xml:space="preserve">1967-es </w:t>
      </w:r>
      <w:r>
        <w:rPr>
          <w:i/>
          <w:iCs/>
          <w:position w:val="0"/>
          <w:sz w:val="22"/>
          <w:sz w:val="22"/>
          <w:szCs w:val="22"/>
          <w:vertAlign w:val="baseline"/>
        </w:rPr>
        <w:t>Nemzetközi Gravitációs Formula</w:t>
      </w:r>
      <w:r>
        <w:rPr>
          <w:position w:val="0"/>
          <w:sz w:val="22"/>
          <w:sz w:val="22"/>
          <w:szCs w:val="22"/>
          <w:vertAlign w:val="baseline"/>
        </w:rPr>
        <w:t xml:space="preserve"> alapján kiszámolható ~9,79m/s</w:t>
      </w:r>
      <w:r>
        <w:rPr>
          <w:sz w:val="22"/>
          <w:szCs w:val="22"/>
          <w:vertAlign w:val="superscript"/>
        </w:rPr>
        <w:t>2</w:t>
      </w:r>
      <w:r>
        <w:rPr>
          <w:position w:val="0"/>
          <w:sz w:val="22"/>
          <w:sz w:val="22"/>
          <w:szCs w:val="22"/>
          <w:vertAlign w:val="baseline"/>
        </w:rPr>
        <w:t>-es értékkel</w:t>
      </w:r>
      <w:r>
        <w:rPr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A mérés hibái</w:t>
      </w:r>
      <w:r>
        <w:rPr>
          <w:i/>
          <w:iCs/>
          <w:u w:val="none"/>
        </w:rPr>
        <w:t>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Távolság mérésére használt eszközök és azok adatainak leolvasásának pontatlansága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 stopperóra ingahelyzethez való relatív elindításának és megállításának időeltérései (emberi hiba)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Nem valódi matematikai inga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 szögkitérés valójában nem eltekinthető mértékű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 rendszerre külső erők hatnak</w:t>
      </w:r>
    </w:p>
    <w:p>
      <w:pPr>
        <w:pStyle w:val="Normal"/>
        <w:numPr>
          <w:ilvl w:val="2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légellenállás</w:t>
      </w:r>
    </w:p>
    <w:p>
      <w:pPr>
        <w:pStyle w:val="Normal"/>
        <w:numPr>
          <w:ilvl w:val="2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ingakötél súrlódása</w:t>
      </w:r>
    </w:p>
    <w:p>
      <w:pPr>
        <w:pStyle w:val="Normal"/>
        <w:numPr>
          <w:ilvl w:val="2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tökéletlenül rögzített állvány miatti erőhatások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Közelített értékekkel való számolás</w:t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bidi w:val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Köszönöm a figyelmet!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LibreOffice/24.8.4.2$Windows_X86_64 LibreOffice_project/bb3cfa12c7b1bf994ecc5649a80400d06cd71002</Application>
  <AppVersion>15.0000</AppVersion>
  <Pages>2</Pages>
  <Words>527</Words>
  <Characters>3289</Characters>
  <CharactersWithSpaces>3739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2025-01-25T20:54:46Z</dcterms:created>
  <dc:creator/>
  <dc:description/>
  <dc:language>hu-HU</dc:language>
  <cp:lastModifiedBy/>
  <cp:lastPrinted>2025-02-08T11:29:58Z</cp:lastPrinted>
  <dcterms:modified xsi:type="dcterms:W3CDTF">2025-02-08T13:12:52Z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