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rFonts w:ascii="Arial" w:hAnsi="Arial"/>
          <w:b/>
          <w:color w:val="27215C"/>
          <w:sz w:val="60"/>
        </w:rPr>
        <w:t>Policy update</w:t>
      </w:r>
    </w:p>
    <w:p>
      <w:r>
        <w:rPr>
          <w:color w:val="DE1263"/>
          <w:sz w:val="28"/>
        </w:rPr>
        <w:t>━━━━━━━━━━━━━━━━━━</w:t>
      </w:r>
    </w:p>
    <w:p>
      <w:r>
        <w:rPr>
          <w:rFonts w:ascii="Arial" w:hAnsi="Arial"/>
          <w:color w:val="5B469C"/>
          <w:sz w:val="32"/>
        </w:rPr>
        <w:t>New and changed government and regional policy affecting Gateshead's economy</w:t>
      </w:r>
    </w:p>
    <w:p/>
    <w:p>
      <w:r>
        <w:rPr>
          <w:rFonts w:ascii="Arial" w:hAnsi="Arial"/>
          <w:color w:val="767676"/>
          <w:sz w:val="22"/>
        </w:rPr>
        <w:t>Economic Intelligence · Gateshead Council</w:t>
        <w:br/>
        <w:t>July 2026 · PUBLIC - compiled entirely from published official sources</w:t>
      </w:r>
    </w:p>
    <w:p>
      <w:r>
        <w:br w:type="page"/>
      </w:r>
    </w:p>
    <w:p>
      <w:pPr>
        <w:pStyle w:val="Heading1"/>
      </w:pPr>
      <w:r>
        <w:t>Executive summary</w:t>
      </w:r>
    </w:p>
    <w:p>
      <w:pPr>
        <w:pStyle w:val="ListBullet"/>
        <w:spacing w:after="80"/>
      </w:pPr>
      <w:r>
        <w:rPr>
          <w:rFonts w:ascii="Arial" w:hAnsi="Arial"/>
          <w:b/>
        </w:rPr>
        <w:t xml:space="preserve">A structural break in our claimant data. </w:t>
      </w:r>
      <w:r>
        <w:rPr>
          <w:rFonts w:ascii="Arial" w:hAnsi="Arial"/>
        </w:rPr>
        <w:t>Universal Credit changed shape on 6 April 2026: the health element is roughly halved and frozen for new claims, so any post-April movement in Gateshead's health-related caseload or inactivity flows may be policy-driven rather than labour-market-driven — the single biggest interpretive caveat on our 2026 series.</w:t>
      </w:r>
    </w:p>
    <w:p>
      <w:pPr>
        <w:pStyle w:val="ListBullet"/>
        <w:spacing w:after="80"/>
      </w:pPr>
      <w:r>
        <w:rPr>
          <w:rFonts w:ascii="Arial" w:hAnsi="Arial"/>
          <w:b/>
        </w:rPr>
        <w:t xml:space="preserve">Named money for Gateshead, deadline in four weeks. </w:t>
      </w:r>
      <w:r>
        <w:rPr>
          <w:rFonts w:ascii="Arial" w:hAnsi="Arial"/>
        </w:rPr>
        <w:t>Northern Growth Strategy: Next Steps (19 March 2026) commits £120m to the North East Mayoral Strategic Authority working with Newcastle and Gateshead councils, anchored on a proposed Newcastle–Gateshead Mayoral Development Zone with Gateshead Quays and Forth Yards as flagships; the invitation for views closes 31 July 2026.</w:t>
      </w:r>
    </w:p>
    <w:p>
      <w:pPr>
        <w:pStyle w:val="ListBullet"/>
        <w:spacing w:after="80"/>
      </w:pPr>
      <w:r>
        <w:rPr>
          <w:rFonts w:ascii="Arial" w:hAnsi="Arial"/>
          <w:b/>
        </w:rPr>
        <w:t xml:space="preserve">Employment support is being rebuilt around jobcentres. </w:t>
      </w:r>
      <w:r>
        <w:rPr>
          <w:rFonts w:ascii="Arial" w:hAnsi="Arial"/>
        </w:rPr>
        <w:t>The National Careers Service merges into Jobcentre Plus on 1 October 2026, WorkWell goes England-wide from November, and the North East is one of three Pathfinder regions; youth measures live from 29–30 June 2026 will show in claimant series.</w:t>
      </w:r>
    </w:p>
    <w:p>
      <w:pPr>
        <w:pStyle w:val="ListBullet"/>
        <w:spacing w:after="80"/>
      </w:pPr>
      <w:r>
        <w:rPr>
          <w:rFonts w:ascii="Arial" w:hAnsi="Arial"/>
          <w:b/>
        </w:rPr>
        <w:t xml:space="preserve">The devolution funding plumbing is now live. </w:t>
      </w:r>
      <w:r>
        <w:rPr>
          <w:rFonts w:ascii="Arial" w:hAnsi="Arial"/>
        </w:rPr>
        <w:t>Royal Assent on 29 April 2026; NECA formally the North East Mayoral Strategic Authority since 18 May 2026; an Integrated Settlement operating from April; and Local Growth Fund allocations of £22m–£28m a year to 2029/30, tied to the Local Growth Plan and its accountability framework.</w:t>
      </w:r>
    </w:p>
    <w:p>
      <w:pPr>
        <w:pStyle w:val="ListBullet"/>
        <w:spacing w:after="80"/>
      </w:pPr>
      <w:r>
        <w:rPr>
          <w:rFonts w:ascii="Arial" w:hAnsi="Arial"/>
          <w:b/>
        </w:rPr>
        <w:t xml:space="preserve">Two corrections to our evidence base. </w:t>
      </w:r>
      <w:r>
        <w:rPr>
          <w:rFonts w:ascii="Arial" w:hAnsi="Arial"/>
        </w:rPr>
        <w:t>The IS-8 Digital and Technologies definition narrowed on 5 June 2026 (video games and broadcasting moved to Creative Industries) — our Gateshead digital figures need re-running — and the Code of Practice for Statistics moved to Edition 3.0 on 30 October 2025, superseding the edition in this week's standards briefing.</w:t>
      </w:r>
    </w:p>
    <w:p>
      <w:pPr>
        <w:pStyle w:val="Caveat"/>
        <w:spacing w:after="240"/>
      </w:pPr>
      <w:r>
        <w:rPr>
          <w:rFonts w:ascii="Arial" w:hAnsi="Arial"/>
        </w:rPr>
        <w:t>Findings are checked against the team's policy baseline as recorded on 3 July 2026, and are sourced from gov.uk, parliament.uk, ONS and North East Mayoral Strategic Authority publications unless labelled otherwise; items reported only in the press are flagged as such. Re-verify dates before quoting anything here in a published product.</w:t>
      </w:r>
    </w:p>
    <w:p>
      <w:pPr>
        <w:pStyle w:val="Heading1"/>
      </w:pPr>
      <w:r>
        <w:t>1. Labour market: the system is being rebuilt — and our data has a break</w:t>
      </w:r>
    </w:p>
    <w:p>
      <w:pPr>
        <w:pStyle w:val="Heading2"/>
      </w:pPr>
      <w:r>
        <w:t>1.1 Universal Credit restructure, in force since 6 April 2026</w:t>
      </w:r>
    </w:p>
    <w:p>
      <w:pPr>
        <w:spacing w:after="120"/>
      </w:pPr>
      <w:r>
        <w:rPr>
          <w:rFonts w:ascii="Arial" w:hAnsi="Arial"/>
        </w:rPr>
        <w:t>The Universal Credit Act 2025 took effect on 6 April 2026. For new claims, the limited capability for work and work-related activity (LCWRA) health element is roughly halved (£217.26 per assessment period in 2026/27) and frozen; existing claimants, people meeting the Severe Conditions Criteria and the terminally ill are protected at the higher rate, while the standard allowance rises above inflation for four years. New and existing claimants now face materially different incentives.</w:t>
      </w:r>
    </w:p>
    <w:p>
      <w:pPr>
        <w:spacing w:after="120"/>
      </w:pPr>
      <w:r>
        <w:rPr>
          <w:rFonts w:ascii="Arial" w:hAnsi="Arial"/>
        </w:rPr>
        <w:t>Gateshead's economic inactivity problem is concentrated in long-term sickness, so this lands squarely on our patch: any post-April change in health-related UC inflows, work capability assessment outcomes or inactivity flows may reflect the policy change, not labour demand.</w:t>
      </w:r>
    </w:p>
    <w:p>
      <w:pPr>
        <w:pStyle w:val="Caveat"/>
        <w:pBdr>
          <w:left w:val="single" w:sz="24" w:color="FFB81B" w:space="4"/>
        </w:pBdr>
        <w:shd w:val="clear" w:fill="FFF6E0"/>
        <w:spacing w:before="120" w:after="200"/>
        <w:ind w:left="142"/>
      </w:pPr>
      <w:r>
        <w:rPr>
          <w:rFonts w:ascii="Arial" w:hAnsi="Arial"/>
          <w:b/>
        </w:rPr>
        <w:t xml:space="preserve">Series caveat. </w:t>
      </w:r>
      <w:r>
        <w:rPr>
          <w:rFonts w:ascii="Arial" w:hAnsi="Arial"/>
        </w:rPr>
        <w:t>Treat April 2026 as a structural break in the UC health caseload. Every 2026 series touching health-related claims or inactivity carries this caveat in the same paragraph as the number.</w:t>
      </w:r>
    </w:p>
    <w:p>
      <w:pPr>
        <w:pStyle w:val="Heading2"/>
      </w:pPr>
      <w:r>
        <w:t>1.2 Jobs and Careers Service: the North East is a Pathfinder</w:t>
      </w:r>
    </w:p>
    <w:p>
      <w:pPr>
        <w:spacing w:after="120"/>
      </w:pPr>
      <w:r>
        <w:rPr>
          <w:rFonts w:ascii="Arial" w:hAnsi="Arial"/>
        </w:rPr>
        <w:t>DWP's update on the Jobs and Careers Service (published 2 July 2026) confirms the National Careers Service merges into Jobcentre Plus in England on 1 October 2026; the Youth Guarantee reached all jobcentres by end June 2026; WorkWell expands across England from November 2026; and contracted employment support is reformed from early 2028 to target need rather than claim duration.</w:t>
      </w:r>
    </w:p>
    <w:p>
      <w:pPr>
        <w:spacing w:after="120"/>
      </w:pPr>
      <w:r>
        <w:rPr>
          <w:rFonts w:ascii="Arial" w:hAnsi="Arial"/>
        </w:rPr>
        <w:t>The North East is one of three Pathfinder regions (with Wakefield and Nottingham), alongside 17 Economic Inactivity and Youth Guarantee Trailblazers sharing £245m over 2025/26–2026/27. The update's Annex A publishes an evidence review of employment support, with randomised controlled trial results promised later in 2026.</w:t>
      </w:r>
    </w:p>
    <w:p>
      <w:pPr>
        <w:pStyle w:val="Heading2"/>
      </w:pPr>
      <w:r>
        <w:t>1.3 Youth employment package, live from 29–30 June 2026</w:t>
      </w:r>
    </w:p>
    <w:p>
      <w:pPr>
        <w:spacing w:after="120"/>
      </w:pPr>
      <w:r>
        <w:rPr>
          <w:rFonts w:ascii="Arial" w:hAnsi="Arial"/>
        </w:rPr>
        <w:t>The Youth Jobs Grant (launched 30 June) pays employers £3,000 — £1,800 up front, £1,200 after 18 weeks — for hiring 18–24s who have been unemployed on Universal Credit for six months or more. A Jobs Guarantee (a six-month fully funded job for 18–24s on UC for 18 months) has piloted in six areas since April 2026 — none in the North East — with national rollout to follow. An expanded jobcentre youth offer is national from 29 June: an Employment and Skills Review at week two and a Gateway meeting at week 13, mandatory for those on Intensive Work Search.</w:t>
      </w:r>
    </w:p>
    <w:p>
      <w:pPr>
        <w:spacing w:after="80"/>
      </w:pPr>
      <w:r>
        <w:rPr>
          <w:rFonts w:ascii="Arial" w:hAnsi="Arial"/>
          <w:b/>
          <w:color w:val="5B469C"/>
        </w:rPr>
        <w:t>What this means for the team</w:t>
      </w:r>
    </w:p>
    <w:p>
      <w:pPr>
        <w:pStyle w:val="ListBullet"/>
        <w:spacing w:after="80"/>
      </w:pPr>
      <w:r>
        <w:rPr>
          <w:rFonts w:ascii="Arial" w:hAnsi="Arial"/>
          <w:b/>
        </w:rPr>
        <w:t xml:space="preserve">Flag the discontinuities. </w:t>
      </w:r>
      <w:r>
        <w:rPr>
          <w:rFonts w:ascii="Arial" w:hAnsi="Arial"/>
        </w:rPr>
        <w:t>April 2026 for health-related UC and inactivity series; July 2026 onward for youth claimant series.</w:t>
      </w:r>
    </w:p>
    <w:p>
      <w:pPr>
        <w:pStyle w:val="ListBullet"/>
        <w:spacing w:after="80"/>
      </w:pPr>
      <w:r>
        <w:rPr>
          <w:rFonts w:ascii="Arial" w:hAnsi="Arial"/>
          <w:b/>
        </w:rPr>
        <w:t xml:space="preserve">Chase Pathfinder data. </w:t>
      </w:r>
      <w:r>
        <w:rPr>
          <w:rFonts w:ascii="Arial" w:hAnsi="Arial"/>
        </w:rPr>
        <w:t>Ask NECA and Jobcentre Plus contacts what management information the North East Pathfinder will share — early delivery data is a Gateshead evidence asset.</w:t>
      </w:r>
    </w:p>
    <w:p>
      <w:pPr>
        <w:pStyle w:val="ListBullet"/>
        <w:spacing w:after="80"/>
      </w:pPr>
      <w:r>
        <w:rPr>
          <w:rFonts w:ascii="Arial" w:hAnsi="Arial"/>
          <w:b/>
        </w:rPr>
        <w:t xml:space="preserve">Employer comms line. </w:t>
      </w:r>
      <w:r>
        <w:rPr>
          <w:rFonts w:ascii="Arial" w:hAnsi="Arial"/>
        </w:rPr>
        <w:t>The £3,000 Youth Jobs Grant is a concrete offer for Business Gateshead communications.</w:t>
      </w:r>
    </w:p>
    <w:p>
      <w:pPr>
        <w:pStyle w:val="ListBullet"/>
        <w:spacing w:after="80"/>
      </w:pPr>
      <w:r>
        <w:rPr>
          <w:rFonts w:ascii="Arial" w:hAnsi="Arial"/>
          <w:b/>
        </w:rPr>
        <w:t xml:space="preserve">Diarise the evidence. </w:t>
      </w:r>
      <w:r>
        <w:rPr>
          <w:rFonts w:ascii="Arial" w:hAnsi="Arial"/>
        </w:rPr>
        <w:t>DWP's employment-support evidence review and RCT results (due late 2026) bear directly on Magenta-Book-compliant design of any local employment-support evaluation.</w:t>
      </w:r>
    </w:p>
    <w:p>
      <w:pPr>
        <w:pStyle w:val="Heading1"/>
      </w:pPr>
      <w:r>
        <w:t>2. Funding for Gateshead: the Northern Growth Strategy and the proposed MDZ</w:t>
      </w:r>
    </w:p>
    <w:p>
      <w:pPr>
        <w:spacing w:after="160"/>
      </w:pPr>
      <w:r>
        <w:rPr>
          <w:rFonts w:ascii="Arial" w:hAnsi="Arial"/>
          <w:b/>
          <w:color w:val="DE1263"/>
          <w:sz w:val="28"/>
        </w:rPr>
        <w:t>£120m for the North East Mayoral Strategic Authority, Newcastle and Gateshead — views close 31 July 2026</w:t>
      </w:r>
    </w:p>
    <w:p>
      <w:pPr>
        <w:spacing w:after="120"/>
      </w:pPr>
      <w:r>
        <w:rPr>
          <w:rFonts w:ascii="Arial" w:hAnsi="Arial"/>
        </w:rPr>
        <w:t>Northern Growth Strategy: Next Steps (published 19 March 2026, with a written ministerial statement the same day) commits £120m of grant funding to the North East Mayoral Strategic Authority, working with Newcastle City Council and Gateshead Council, directed at the proposed Newcastle–Gateshead Mayoral Development Zone (MDZ) with Gateshead Quays and Forth Yards as flagship anchors. It sits within £2.3bn of City Investment Funds (up to £1.7bn for northern city regions), alongside a fiscal devolution roadmap and consideration of the Leamside Line business case. The MDZ itself remains proposed rather than confirmed.</w:t>
      </w:r>
    </w:p>
    <w:p>
      <w:pPr>
        <w:spacing w:after="120"/>
      </w:pPr>
      <w:r>
        <w:rPr>
          <w:rFonts w:ascii="Arial" w:hAnsi="Arial"/>
        </w:rPr>
        <w:t>An invitation for views closes 31 July 2026, and a further update is due in autumn 2026.</w:t>
      </w:r>
    </w:p>
    <w:p>
      <w:pPr>
        <w:spacing w:after="80"/>
      </w:pPr>
      <w:r>
        <w:rPr>
          <w:rFonts w:ascii="Arial" w:hAnsi="Arial"/>
          <w:b/>
          <w:color w:val="5B469C"/>
        </w:rPr>
        <w:t>What this means for the team</w:t>
      </w:r>
    </w:p>
    <w:p>
      <w:pPr>
        <w:pStyle w:val="ListBullet"/>
        <w:spacing w:after="80"/>
      </w:pPr>
      <w:r>
        <w:rPr>
          <w:rFonts w:ascii="Arial" w:hAnsi="Arial"/>
          <w:b/>
        </w:rPr>
        <w:t xml:space="preserve">Baseline now. </w:t>
      </w:r>
      <w:r>
        <w:rPr>
          <w:rFonts w:ascii="Arial" w:hAnsi="Arial"/>
        </w:rPr>
        <w:t>Assemble MDZ baseline evidence before delivery starts — Quays footfall, land values, the development pipeline, employment on the affected sites. Evaluation-ready baselines are captured before launch, and this team is the baseline-keeper.</w:t>
      </w:r>
    </w:p>
    <w:p>
      <w:pPr>
        <w:pStyle w:val="ListBullet"/>
        <w:spacing w:after="80"/>
      </w:pPr>
      <w:r>
        <w:rPr>
          <w:rFonts w:ascii="Arial" w:hAnsi="Arial"/>
          <w:b/>
        </w:rPr>
        <w:t xml:space="preserve">Four weeks to respond. </w:t>
      </w:r>
      <w:r>
        <w:rPr>
          <w:rFonts w:ascii="Arial" w:hAnsi="Arial"/>
        </w:rPr>
        <w:t>The views window is open until 31 July — an evidence-based submission drawing on the Local Economic Assessment 2025 is a realistic, dated ask.</w:t>
      </w:r>
    </w:p>
    <w:p>
      <w:pPr>
        <w:pStyle w:val="ListBullet"/>
        <w:spacing w:after="80"/>
      </w:pPr>
      <w:r>
        <w:rPr>
          <w:rFonts w:ascii="Arial" w:hAnsi="Arial"/>
          <w:b/>
        </w:rPr>
        <w:t xml:space="preserve">Displacement honesty. </w:t>
      </w:r>
      <w:r>
        <w:rPr>
          <w:rFonts w:ascii="Arial" w:hAnsi="Arial"/>
        </w:rPr>
        <w:t>Any MDZ case must state which geography benefits are net over: activity moving between Newcastle and Gateshead is not net growth for the North East, and Green Book appraisal will expect that treatment.</w:t>
      </w:r>
    </w:p>
    <w:p>
      <w:pPr>
        <w:pStyle w:val="Heading1"/>
      </w:pPr>
      <w:r>
        <w:t>3. The devolution architecture is now live</w:t>
      </w:r>
    </w:p>
    <w:p>
      <w:pPr>
        <w:spacing w:after="120"/>
      </w:pPr>
      <w:r>
        <w:rPr>
          <w:rFonts w:ascii="Arial" w:hAnsi="Arial"/>
        </w:rPr>
        <w:t>The English Devolution and Community Empowerment Act received Royal Assent on 29 April 2026, formalising Strategic Authorities. NECA formally became the North East Mayoral Strategic Authority on 18 May 2026 — use that name in anything published. The Act also bans upward-only rent reviews in new and renewal commercial leases, creates a community right to buy, and introduces gambling impact assessments for high streets.</w:t>
      </w:r>
    </w:p>
    <w:p>
      <w:pPr>
        <w:spacing w:after="120"/>
      </w:pPr>
      <w:r>
        <w:rPr>
          <w:rFonts w:ascii="Arial" w:hAnsi="Arial"/>
        </w:rPr>
        <w:t>The North East Integrated Settlement has operated since April 2026 — Autumn Budget 2025 confirmed at least £13bn via Integrated Settlements for seven mayoral strategic authorities over 2026/27–2029/30. The new Local Growth Fund (policy statement 26 November 2025; launched April 2026) allocates £900m+ over four years across 11 northern and midlands authorities on productivity catch-up criteria, explicitly aligned to Local Growth Plans, with accountability via the English Devolution Accountability Framework.</w:t>
      </w:r>
    </w:p>
    <w:tbl>
      <w:tblPr>
        <w:tblW w:type="auto" w:w="0"/>
        <w:jc w:val="left"/>
        <w:tblBorders>
          <w:top w:val="single" w:sz="4" w:color="E5E5E5"/>
          <w:left w:val="none"/>
          <w:bottom w:val="single" w:sz="4" w:color="E5E5E5"/>
          <w:right w:val="none"/>
          <w:insideH w:val="single" w:sz="4" w:color="E5E5E5"/>
          <w:insideV w:val="none"/>
        </w:tblBorders>
        <w:tblLook w:firstColumn="1" w:firstRow="1" w:lastColumn="0" w:lastRow="0" w:noHBand="0" w:noVBand="1" w:val="04A0"/>
      </w:tblPr>
      <w:tblGrid>
        <w:gridCol w:w="1837"/>
        <w:gridCol w:w="1837"/>
        <w:gridCol w:w="1837"/>
        <w:gridCol w:w="1837"/>
        <w:gridCol w:w="1837"/>
      </w:tblGrid>
      <w:tr>
        <w:tc>
          <w:tcPr>
            <w:tcW w:type="dxa" w:w="3628"/>
            <w:shd w:val="clear" w:fill="27215C"/>
          </w:tcPr>
          <w:p>
            <w:r/>
            <w:r>
              <w:rPr>
                <w:rFonts w:ascii="Arial" w:hAnsi="Arial"/>
                <w:b/>
                <w:color w:val="FFFFFF"/>
                <w:sz w:val="19"/>
              </w:rPr>
              <w:t>Local Growth Fund — North East allocation</w:t>
            </w:r>
          </w:p>
        </w:tc>
        <w:tc>
          <w:tcPr>
            <w:tcW w:type="dxa" w:w="1361"/>
            <w:shd w:val="clear" w:fill="27215C"/>
          </w:tcPr>
          <w:p>
            <w:r/>
            <w:r>
              <w:rPr>
                <w:rFonts w:ascii="Arial" w:hAnsi="Arial"/>
                <w:b/>
                <w:color w:val="FFFFFF"/>
                <w:sz w:val="19"/>
              </w:rPr>
              <w:t>2026/27</w:t>
            </w:r>
          </w:p>
        </w:tc>
        <w:tc>
          <w:tcPr>
            <w:tcW w:type="dxa" w:w="1361"/>
            <w:shd w:val="clear" w:fill="27215C"/>
          </w:tcPr>
          <w:p>
            <w:r/>
            <w:r>
              <w:rPr>
                <w:rFonts w:ascii="Arial" w:hAnsi="Arial"/>
                <w:b/>
                <w:color w:val="FFFFFF"/>
                <w:sz w:val="19"/>
              </w:rPr>
              <w:t>2027/28</w:t>
            </w:r>
          </w:p>
        </w:tc>
        <w:tc>
          <w:tcPr>
            <w:tcW w:type="dxa" w:w="1361"/>
            <w:shd w:val="clear" w:fill="27215C"/>
          </w:tcPr>
          <w:p>
            <w:r/>
            <w:r>
              <w:rPr>
                <w:rFonts w:ascii="Arial" w:hAnsi="Arial"/>
                <w:b/>
                <w:color w:val="FFFFFF"/>
                <w:sz w:val="19"/>
              </w:rPr>
              <w:t>2028/29</w:t>
            </w:r>
          </w:p>
        </w:tc>
        <w:tc>
          <w:tcPr>
            <w:tcW w:type="dxa" w:w="1361"/>
            <w:shd w:val="clear" w:fill="27215C"/>
          </w:tcPr>
          <w:p>
            <w:r/>
            <w:r>
              <w:rPr>
                <w:rFonts w:ascii="Arial" w:hAnsi="Arial"/>
                <w:b/>
                <w:color w:val="FFFFFF"/>
                <w:sz w:val="19"/>
              </w:rPr>
              <w:t>2029/30</w:t>
            </w:r>
          </w:p>
        </w:tc>
      </w:tr>
      <w:tr>
        <w:tc>
          <w:tcPr>
            <w:tcW w:type="dxa" w:w="3628"/>
          </w:tcPr>
          <w:p>
            <w:r/>
            <w:r>
              <w:rPr>
                <w:rFonts w:ascii="Arial" w:hAnsi="Arial"/>
                <w:b w:val="0"/>
                <w:color w:val="1D1D1C"/>
                <w:sz w:val="19"/>
              </w:rPr>
              <w:t>Allocation</w:t>
            </w:r>
          </w:p>
        </w:tc>
        <w:tc>
          <w:tcPr>
            <w:tcW w:type="dxa" w:w="1361"/>
          </w:tcPr>
          <w:p>
            <w:pPr>
              <w:jc w:val="right"/>
            </w:pPr>
            <w:r/>
            <w:r>
              <w:rPr>
                <w:rFonts w:ascii="Arial" w:hAnsi="Arial"/>
                <w:b w:val="0"/>
                <w:color w:val="1D1D1C"/>
                <w:sz w:val="19"/>
              </w:rPr>
              <w:t>£22m</w:t>
            </w:r>
          </w:p>
        </w:tc>
        <w:tc>
          <w:tcPr>
            <w:tcW w:type="dxa" w:w="1361"/>
          </w:tcPr>
          <w:p>
            <w:pPr>
              <w:jc w:val="right"/>
            </w:pPr>
            <w:r/>
            <w:r>
              <w:rPr>
                <w:rFonts w:ascii="Arial" w:hAnsi="Arial"/>
                <w:b w:val="0"/>
                <w:color w:val="1D1D1C"/>
                <w:sz w:val="19"/>
              </w:rPr>
              <w:t>£23m</w:t>
            </w:r>
          </w:p>
        </w:tc>
        <w:tc>
          <w:tcPr>
            <w:tcW w:type="dxa" w:w="1361"/>
          </w:tcPr>
          <w:p>
            <w:pPr>
              <w:jc w:val="right"/>
            </w:pPr>
            <w:r/>
            <w:r>
              <w:rPr>
                <w:rFonts w:ascii="Arial" w:hAnsi="Arial"/>
                <w:b w:val="0"/>
                <w:color w:val="1D1D1C"/>
                <w:sz w:val="19"/>
              </w:rPr>
              <w:t>£28m</w:t>
            </w:r>
          </w:p>
        </w:tc>
        <w:tc>
          <w:tcPr>
            <w:tcW w:type="dxa" w:w="1361"/>
          </w:tcPr>
          <w:p>
            <w:pPr>
              <w:jc w:val="right"/>
            </w:pPr>
            <w:r/>
            <w:r>
              <w:rPr>
                <w:rFonts w:ascii="Arial" w:hAnsi="Arial"/>
                <w:b w:val="0"/>
                <w:color w:val="1D1D1C"/>
                <w:sz w:val="19"/>
              </w:rPr>
              <w:t>£24m</w:t>
            </w:r>
          </w:p>
        </w:tc>
      </w:tr>
    </w:tbl>
    <w:p>
      <w:pPr>
        <w:spacing w:after="40"/>
      </w:pPr>
    </w:p>
    <w:p>
      <w:pPr>
        <w:pStyle w:val="SourceLine"/>
        <w:spacing w:after="200"/>
      </w:pPr>
      <w:r>
        <w:rPr>
          <w:rFonts w:ascii="Arial" w:hAnsi="Arial"/>
        </w:rPr>
        <w:t>Source: MHCLG (2025) Local Growth Fund (England) policy statement, 26 November 2025.</w:t>
      </w:r>
    </w:p>
    <w:p>
      <w:pPr>
        <w:spacing w:after="80"/>
      </w:pPr>
      <w:r>
        <w:rPr>
          <w:rFonts w:ascii="Arial" w:hAnsi="Arial"/>
          <w:b/>
          <w:color w:val="5B469C"/>
        </w:rPr>
        <w:t>What this means for the team</w:t>
      </w:r>
    </w:p>
    <w:p>
      <w:pPr>
        <w:pStyle w:val="ListBullet"/>
        <w:spacing w:after="80"/>
      </w:pPr>
      <w:r>
        <w:rPr>
          <w:rFonts w:ascii="Arial" w:hAnsi="Arial"/>
          <w:b/>
        </w:rPr>
        <w:t xml:space="preserve">One pot, one mark scheme. </w:t>
      </w:r>
      <w:r>
        <w:rPr>
          <w:rFonts w:ascii="Arial" w:hAnsi="Arial"/>
        </w:rPr>
        <w:t>Gateshead's route to growth funding now runs through a single North East MSA settlement with its own accountability framework — bid evidence is marked against the Green Book, Magenta Book and Aqua Book standards covered in this week's team briefing.</w:t>
      </w:r>
    </w:p>
    <w:p>
      <w:pPr>
        <w:pStyle w:val="ListBullet"/>
        <w:spacing w:after="80"/>
      </w:pPr>
      <w:r>
        <w:rPr>
          <w:rFonts w:ascii="Arial" w:hAnsi="Arial"/>
          <w:b/>
        </w:rPr>
        <w:t xml:space="preserve">Town-centre variables. </w:t>
      </w:r>
      <w:r>
        <w:rPr>
          <w:rFonts w:ascii="Arial" w:hAnsi="Arial"/>
        </w:rPr>
        <w:t>The upward-only rent review ban and community right to buy are new factors for high-street and town-centre evidence.</w:t>
      </w:r>
    </w:p>
    <w:p>
      <w:pPr>
        <w:pStyle w:val="ListBullet"/>
        <w:spacing w:after="80"/>
      </w:pPr>
      <w:r>
        <w:rPr>
          <w:rFonts w:ascii="Arial" w:hAnsi="Arial"/>
          <w:b/>
        </w:rPr>
        <w:t xml:space="preserve">House style. </w:t>
      </w:r>
      <w:r>
        <w:rPr>
          <w:rFonts w:ascii="Arial" w:hAnsi="Arial"/>
        </w:rPr>
        <w:t>Update templates and published products to the new authority name.</w:t>
      </w:r>
    </w:p>
    <w:p>
      <w:pPr>
        <w:pStyle w:val="Heading1"/>
      </w:pPr>
      <w:r>
        <w:t>4. Evidence-base housekeeping</w:t>
      </w:r>
    </w:p>
    <w:p>
      <w:pPr>
        <w:pStyle w:val="Heading2"/>
      </w:pPr>
      <w:r>
        <w:t>4.1 The IS-8 digital definition changed — re-run before quoting</w:t>
      </w:r>
    </w:p>
    <w:p>
      <w:pPr>
        <w:spacing w:after="120"/>
      </w:pPr>
      <w:r>
        <w:rPr>
          <w:rFonts w:ascii="Arial" w:hAnsi="Arial"/>
        </w:rPr>
        <w:t>The Industrial Strategy Sector Definitions List was updated on 5 June 2026 with a narrower SIC proxy for Digital and Technologies: video games (SIC 58.21) and broadcasting codes are excluded and now sit with Creative Industries. Our quoted Gateshead digital figures (around 5,800 employees and £525m turnover) and the IS-8 evidence mapping need re-running on the new list before next use — some activity will migrate between the digital and creative rows.</w:t>
      </w:r>
    </w:p>
    <w:p>
      <w:pPr>
        <w:spacing w:after="120"/>
      </w:pPr>
      <w:r>
        <w:rPr>
          <w:rFonts w:ascii="Arial" w:hAnsi="Arial"/>
        </w:rPr>
        <w:t>The Industrial Strategy Quarterly Update (January–March 2026, published 9 April 2026) adds an economic-indicators methodology note: six indicators at 4-digit SIC, UK level only, no regional breakdowns. Local IS-8 tracking therefore remains this team's open niche; House of Commons Library briefing CBP-10439 (regional IS-8 contributions, June 2026) offers a neutral benchmark for our estimates.</w:t>
      </w:r>
    </w:p>
    <w:p>
      <w:pPr>
        <w:pStyle w:val="Heading2"/>
      </w:pPr>
      <w:r>
        <w:t>4.2 Code of Practice for Statistics: Edition 3.0 — a correction</w:t>
      </w:r>
    </w:p>
    <w:p>
      <w:pPr>
        <w:spacing w:after="120"/>
      </w:pPr>
      <w:r>
        <w:rPr>
          <w:rFonts w:ascii="Arial" w:hAnsi="Arial"/>
        </w:rPr>
        <w:t>The Code moved to Edition 3.0 on 30 October 2025, superseding edition 2.1 — a correction to this week's colour-books briefing, which described the earlier edition. The trustworthiness–quality–value pillars survive, but there are now 10 Code Principles (down from 14), Standards for Official Statistics including a statement-of-compliance requirement, and new Standards for the Public Use of Statistics that apply to anyone communicating statistics publicly — policy and comms colleagues included, not just analysts. Claims of being “produced in line with the Code” should reference Edition 3.0.</w:t>
      </w:r>
    </w:p>
    <w:p>
      <w:pPr>
        <w:pStyle w:val="Heading2"/>
      </w:pPr>
      <w:r>
        <w:t>4.3 UK SIC 2026: a classification break is coming, slowly</w:t>
      </w:r>
    </w:p>
    <w:p>
      <w:pPr>
        <w:spacing w:after="120"/>
      </w:pPr>
      <w:r>
        <w:rPr>
          <w:rFonts w:ascii="Arial" w:hAnsi="Arial"/>
        </w:rPr>
        <w:t>The revised UK Standard Industrial Classification was finalised in April 2026, with a staged rollout: the Statistical Business Register first, business surveys such as BRES resampled onto SIC 2026 afterwards, and National Accounts at Blue Book 2031 at the earliest. No immediate action, but every BRES-by-SIC series we maintain faces a break in the coming years — worth noting in dashboard design and provenance conventions now.</w:t>
      </w:r>
    </w:p>
    <w:p>
      <w:pPr>
        <w:pStyle w:val="Heading1"/>
      </w:pPr>
      <w:r>
        <w:t>5. Sector notes in brief</w:t>
      </w:r>
    </w:p>
    <w:p>
      <w:pPr>
        <w:pStyle w:val="ListBullet"/>
        <w:spacing w:after="80"/>
      </w:pPr>
      <w:r>
        <w:rPr>
          <w:rFonts w:ascii="Arial" w:hAnsi="Arial"/>
          <w:b/>
        </w:rPr>
        <w:t xml:space="preserve">Green: </w:t>
      </w:r>
      <w:r>
        <w:rPr>
          <w:rFonts w:ascii="Arial" w:hAnsi="Arial"/>
        </w:rPr>
        <w:t>the Warm Homes Plan (21 January 2026; £15bn announced alongside Autumn Budget 2025) creates a Warm Homes Agency, expands the Boiler Upgrade Scheme (~£2.7bn to 2029/30) and directs ~£5bn to low-income households — firming up the retrofit demand pipeline behind the LEA's construction-upskilling argument. Warm Homes Fund design detail is due later in 2026.</w:t>
      </w:r>
    </w:p>
    <w:p>
      <w:pPr>
        <w:pStyle w:val="ListBullet"/>
        <w:spacing w:after="80"/>
      </w:pPr>
      <w:r>
        <w:rPr>
          <w:rFonts w:ascii="Arial" w:hAnsi="Arial"/>
          <w:b/>
        </w:rPr>
        <w:t xml:space="preserve">Creative: </w:t>
      </w:r>
      <w:r>
        <w:rPr>
          <w:rFonts w:ascii="Arial" w:hAnsi="Arial"/>
        </w:rPr>
        <w:t>the North East is one of six mayoral authorities receiving £25m over three years from FY2026 under the Creative Places Growth Fund, distributed by the North East MSA (announced 29 September 2025), plus a share of the £8m Create Growth Programme — a live hook for PROTO and the digital-creative urban core; allocation mechanics and monitoring data are worth chasing.</w:t>
      </w:r>
    </w:p>
    <w:p>
      <w:pPr>
        <w:pStyle w:val="ListBullet"/>
        <w:spacing w:after="80"/>
      </w:pPr>
      <w:r>
        <w:rPr>
          <w:rFonts w:ascii="Arial" w:hAnsi="Arial"/>
          <w:b/>
        </w:rPr>
        <w:t xml:space="preserve">AI Growth Zone: </w:t>
      </w:r>
      <w:r>
        <w:rPr>
          <w:rFonts w:ascii="Arial" w:hAnsi="Arial"/>
        </w:rPr>
        <w:t>the QTS (Blackstone) Cambois campus is proceeding — site preparation underway, up to £10bn and 720MW across ten facilities, first opening due 2028 — and a regional AI skills package (12 May 2026) sets measurable targets: 80,000 students trained by 2029, 1,000 teachers supported, 150 work placements.</w:t>
      </w:r>
    </w:p>
    <w:p>
      <w:pPr>
        <w:pStyle w:val="Caveat"/>
        <w:pBdr>
          <w:left w:val="single" w:sz="24" w:color="FFB81B" w:space="4"/>
        </w:pBdr>
        <w:shd w:val="clear" w:fill="FFF6E0"/>
        <w:spacing w:before="120" w:after="200"/>
        <w:ind w:left="142"/>
      </w:pPr>
      <w:r>
        <w:rPr>
          <w:rFonts w:ascii="Arial" w:hAnsi="Arial"/>
          <w:b/>
        </w:rPr>
        <w:t xml:space="preserve">Press-reported only. </w:t>
      </w:r>
      <w:r>
        <w:rPr>
          <w:rFonts w:ascii="Arial" w:hAnsi="Arial"/>
        </w:rPr>
        <w:t>OpenAI is reported to have paused its North East data-centre plans (April 2026; Place North East, Bdaily). No primary government or MSA confirmation found — label it as press-reported in anything we produce, and keep the AI Growth Zone narrative two-sided.</w:t>
      </w:r>
    </w:p>
    <w:p>
      <w:pPr>
        <w:pStyle w:val="ListBullet"/>
        <w:spacing w:after="80"/>
      </w:pPr>
      <w:r>
        <w:rPr>
          <w:rFonts w:ascii="Arial" w:hAnsi="Arial"/>
          <w:b/>
        </w:rPr>
        <w:t xml:space="preserve">Visitor: </w:t>
      </w:r>
      <w:r>
        <w:rPr>
          <w:rFonts w:ascii="Arial" w:hAnsi="Arial"/>
        </w:rPr>
        <w:t>the National Visitor Economy Strategy is still unpublished (expected autumn 2026), and the Culture, Media and Sport Committee's live tourism inquiry is examining mayoral overnight visitor levy powers — directly relevant to Gateshead Quays visitor projections. Pre-position the visitor evidence base for the autumn.</w:t>
      </w:r>
    </w:p>
    <w:p>
      <w:pPr>
        <w:pStyle w:val="Heading1"/>
      </w:pPr>
      <w:r>
        <w:t>6. Dates to diarise</w:t>
      </w:r>
    </w:p>
    <w:tbl>
      <w:tblPr>
        <w:tblW w:type="auto" w:w="0"/>
        <w:jc w:val="left"/>
        <w:tblBorders>
          <w:top w:val="single" w:sz="4" w:color="E5E5E5"/>
          <w:left w:val="none"/>
          <w:bottom w:val="single" w:sz="4" w:color="E5E5E5"/>
          <w:right w:val="none"/>
          <w:insideH w:val="single" w:sz="4" w:color="E5E5E5"/>
          <w:insideV w:val="none"/>
        </w:tblBorders>
        <w:tblLook w:firstColumn="1" w:firstRow="1" w:lastColumn="0" w:lastRow="0" w:noHBand="0" w:noVBand="1" w:val="04A0"/>
      </w:tblPr>
      <w:tblGrid>
        <w:gridCol w:w="4592"/>
        <w:gridCol w:w="4592"/>
      </w:tblGrid>
      <w:tr>
        <w:tc>
          <w:tcPr>
            <w:tcW w:type="dxa" w:w="6236"/>
            <w:shd w:val="clear" w:fill="27215C"/>
          </w:tcPr>
          <w:p>
            <w:r/>
            <w:r>
              <w:rPr>
                <w:rFonts w:ascii="Arial" w:hAnsi="Arial"/>
                <w:b/>
                <w:color w:val="FFFFFF"/>
                <w:sz w:val="19"/>
              </w:rPr>
              <w:t>What</w:t>
            </w:r>
          </w:p>
        </w:tc>
        <w:tc>
          <w:tcPr>
            <w:tcW w:type="dxa" w:w="2835"/>
            <w:shd w:val="clear" w:fill="27215C"/>
          </w:tcPr>
          <w:p>
            <w:r/>
            <w:r>
              <w:rPr>
                <w:rFonts w:ascii="Arial" w:hAnsi="Arial"/>
                <w:b/>
                <w:color w:val="FFFFFF"/>
                <w:sz w:val="19"/>
              </w:rPr>
              <w:t>When</w:t>
            </w:r>
          </w:p>
        </w:tc>
      </w:tr>
      <w:tr>
        <w:tc>
          <w:tcPr>
            <w:tcW w:type="dxa" w:w="6236"/>
          </w:tcPr>
          <w:p>
            <w:r/>
            <w:r>
              <w:rPr>
                <w:rFonts w:ascii="Arial" w:hAnsi="Arial"/>
                <w:b w:val="0"/>
                <w:color w:val="1D1D1C"/>
                <w:sz w:val="19"/>
              </w:rPr>
              <w:t>Northern Growth Strategy invitation for views</w:t>
            </w:r>
          </w:p>
        </w:tc>
        <w:tc>
          <w:tcPr>
            <w:tcW w:type="dxa" w:w="2835"/>
          </w:tcPr>
          <w:p>
            <w:r/>
            <w:r>
              <w:rPr>
                <w:rFonts w:ascii="Arial" w:hAnsi="Arial"/>
                <w:b w:val="0"/>
                <w:color w:val="1D1D1C"/>
                <w:sz w:val="19"/>
              </w:rPr>
              <w:t>closes 31 July 2026</w:t>
            </w:r>
          </w:p>
        </w:tc>
      </w:tr>
      <w:tr>
        <w:tc>
          <w:tcPr>
            <w:tcW w:type="dxa" w:w="6236"/>
            <w:shd w:val="clear" w:fill="F5F5F5"/>
          </w:tcPr>
          <w:p>
            <w:r/>
            <w:r>
              <w:rPr>
                <w:rFonts w:ascii="Arial" w:hAnsi="Arial"/>
                <w:b w:val="0"/>
                <w:color w:val="1D1D1C"/>
                <w:sz w:val="19"/>
              </w:rPr>
              <w:t>Industrial Strategy Quarterly Update (Apr–Jun 2026)</w:t>
            </w:r>
          </w:p>
        </w:tc>
        <w:tc>
          <w:tcPr>
            <w:tcW w:type="dxa" w:w="2835"/>
            <w:shd w:val="clear" w:fill="F5F5F5"/>
          </w:tcPr>
          <w:p>
            <w:r/>
            <w:r>
              <w:rPr>
                <w:rFonts w:ascii="Arial" w:hAnsi="Arial"/>
                <w:b w:val="0"/>
                <w:color w:val="1D1D1C"/>
                <w:sz w:val="19"/>
              </w:rPr>
              <w:t>due ~July 2026</w:t>
            </w:r>
          </w:p>
        </w:tc>
      </w:tr>
      <w:tr>
        <w:tc>
          <w:tcPr>
            <w:tcW w:type="dxa" w:w="6236"/>
          </w:tcPr>
          <w:p>
            <w:r/>
            <w:r>
              <w:rPr>
                <w:rFonts w:ascii="Arial" w:hAnsi="Arial"/>
                <w:b w:val="0"/>
                <w:color w:val="1D1D1C"/>
                <w:sz w:val="19"/>
              </w:rPr>
              <w:t>National Careers Service merges into Jobcentre Plus</w:t>
            </w:r>
          </w:p>
        </w:tc>
        <w:tc>
          <w:tcPr>
            <w:tcW w:type="dxa" w:w="2835"/>
          </w:tcPr>
          <w:p>
            <w:r/>
            <w:r>
              <w:rPr>
                <w:rFonts w:ascii="Arial" w:hAnsi="Arial"/>
                <w:b w:val="0"/>
                <w:color w:val="1D1D1C"/>
                <w:sz w:val="19"/>
              </w:rPr>
              <w:t>1 October 2026</w:t>
            </w:r>
          </w:p>
        </w:tc>
      </w:tr>
      <w:tr>
        <w:tc>
          <w:tcPr>
            <w:tcW w:type="dxa" w:w="6236"/>
            <w:shd w:val="clear" w:fill="F5F5F5"/>
          </w:tcPr>
          <w:p>
            <w:r/>
            <w:r>
              <w:rPr>
                <w:rFonts w:ascii="Arial" w:hAnsi="Arial"/>
                <w:b w:val="0"/>
                <w:color w:val="1D1D1C"/>
                <w:sz w:val="19"/>
              </w:rPr>
              <w:t>National Visitor Economy Strategy; NGS full update</w:t>
            </w:r>
          </w:p>
        </w:tc>
        <w:tc>
          <w:tcPr>
            <w:tcW w:type="dxa" w:w="2835"/>
            <w:shd w:val="clear" w:fill="F5F5F5"/>
          </w:tcPr>
          <w:p>
            <w:r/>
            <w:r>
              <w:rPr>
                <w:rFonts w:ascii="Arial" w:hAnsi="Arial"/>
                <w:b w:val="0"/>
                <w:color w:val="1D1D1C"/>
                <w:sz w:val="19"/>
              </w:rPr>
              <w:t>autumn 2026</w:t>
            </w:r>
          </w:p>
        </w:tc>
      </w:tr>
      <w:tr>
        <w:tc>
          <w:tcPr>
            <w:tcW w:type="dxa" w:w="6236"/>
          </w:tcPr>
          <w:p>
            <w:r/>
            <w:r>
              <w:rPr>
                <w:rFonts w:ascii="Arial" w:hAnsi="Arial"/>
                <w:b w:val="0"/>
                <w:color w:val="1D1D1C"/>
                <w:sz w:val="19"/>
              </w:rPr>
              <w:t>Warm Homes Fund design detail</w:t>
            </w:r>
          </w:p>
        </w:tc>
        <w:tc>
          <w:tcPr>
            <w:tcW w:type="dxa" w:w="2835"/>
          </w:tcPr>
          <w:p>
            <w:r/>
            <w:r>
              <w:rPr>
                <w:rFonts w:ascii="Arial" w:hAnsi="Arial"/>
                <w:b w:val="0"/>
                <w:color w:val="1D1D1C"/>
                <w:sz w:val="19"/>
              </w:rPr>
              <w:t>later in 2026</w:t>
            </w:r>
          </w:p>
        </w:tc>
      </w:tr>
      <w:tr>
        <w:tc>
          <w:tcPr>
            <w:tcW w:type="dxa" w:w="6236"/>
            <w:shd w:val="clear" w:fill="F5F5F5"/>
          </w:tcPr>
          <w:p>
            <w:r/>
            <w:r>
              <w:rPr>
                <w:rFonts w:ascii="Arial" w:hAnsi="Arial"/>
                <w:b w:val="0"/>
                <w:color w:val="1D1D1C"/>
                <w:sz w:val="19"/>
              </w:rPr>
              <w:t>WorkWell England-wide rollout</w:t>
            </w:r>
          </w:p>
        </w:tc>
        <w:tc>
          <w:tcPr>
            <w:tcW w:type="dxa" w:w="2835"/>
            <w:shd w:val="clear" w:fill="F5F5F5"/>
          </w:tcPr>
          <w:p>
            <w:r/>
            <w:r>
              <w:rPr>
                <w:rFonts w:ascii="Arial" w:hAnsi="Arial"/>
                <w:b w:val="0"/>
                <w:color w:val="1D1D1C"/>
                <w:sz w:val="19"/>
              </w:rPr>
              <w:t>November 2026</w:t>
            </w:r>
          </w:p>
        </w:tc>
      </w:tr>
      <w:tr>
        <w:tc>
          <w:tcPr>
            <w:tcW w:type="dxa" w:w="6236"/>
          </w:tcPr>
          <w:p>
            <w:r/>
            <w:r>
              <w:rPr>
                <w:rFonts w:ascii="Arial" w:hAnsi="Arial"/>
                <w:b w:val="0"/>
                <w:color w:val="1D1D1C"/>
                <w:sz w:val="19"/>
              </w:rPr>
              <w:t>DWP evidence review and RCT results</w:t>
            </w:r>
          </w:p>
        </w:tc>
        <w:tc>
          <w:tcPr>
            <w:tcW w:type="dxa" w:w="2835"/>
          </w:tcPr>
          <w:p>
            <w:r/>
            <w:r>
              <w:rPr>
                <w:rFonts w:ascii="Arial" w:hAnsi="Arial"/>
                <w:b w:val="0"/>
                <w:color w:val="1D1D1C"/>
                <w:sz w:val="19"/>
              </w:rPr>
              <w:t>by end 2026</w:t>
            </w:r>
          </w:p>
        </w:tc>
      </w:tr>
    </w:tbl>
    <w:p>
      <w:pPr>
        <w:spacing w:after="40"/>
      </w:pPr>
    </w:p>
    <w:p>
      <w:pPr>
        <w:pStyle w:val="Heading1"/>
      </w:pPr>
      <w:r>
        <w:t>7. Checked and unchanged</w:t>
      </w:r>
    </w:p>
    <w:p>
      <w:pPr>
        <w:pStyle w:val="ListBullet"/>
        <w:spacing w:after="80"/>
      </w:pPr>
      <w:r>
        <w:rPr>
          <w:rFonts w:ascii="Arial" w:hAnsi="Arial"/>
        </w:rPr>
        <w:t>Green Book 2026 edition (5 February 2026), Magenta Book (May 2026 update) and Aqua Book 2025 edition all remain current — this week's standards briefing stands. Watch items: the promised independent discount-rate review and place-based business-case work have not yet published.</w:t>
      </w:r>
    </w:p>
    <w:p>
      <w:pPr>
        <w:pStyle w:val="ListBullet"/>
        <w:spacing w:after="80"/>
      </w:pPr>
      <w:r>
        <w:rPr>
          <w:rFonts w:ascii="Arial" w:hAnsi="Arial"/>
        </w:rPr>
        <w:t>No new edition of the North East Local Growth Plan since 12 March 2025 — implementation news only.</w:t>
      </w:r>
    </w:p>
    <w:p>
      <w:pPr>
        <w:pStyle w:val="ListBullet"/>
        <w:spacing w:after="80"/>
      </w:pPr>
      <w:r>
        <w:rPr>
          <w:rFonts w:ascii="Arial" w:hAnsi="Arial"/>
        </w:rPr>
        <w:t>The Get Britain Working White Paper is not superseded; the 2 July update builds on it.</w:t>
      </w:r>
    </w:p>
    <w:p>
      <w:pPr>
        <w:pStyle w:val="ListBullet"/>
        <w:spacing w:after="80"/>
      </w:pPr>
      <w:r>
        <w:rPr>
          <w:rFonts w:ascii="Arial" w:hAnsi="Arial"/>
        </w:rPr>
        <w:t>Nothing new on Gateshead's corporate documents (Thrive, Corporate Plan, EDS, LEA); the North East LSIP was quiet in searches, though a manual check of the NELSIP site is advised.</w:t>
      </w:r>
    </w:p>
    <w:p>
      <w:pPr>
        <w:pStyle w:val="Heading1"/>
      </w:pPr>
      <w:r>
        <w:t>8. Sources</w:t>
      </w:r>
    </w:p>
    <w:p>
      <w:pPr>
        <w:pStyle w:val="ListBullet"/>
        <w:spacing w:after="40"/>
      </w:pPr>
      <w:r>
        <w:rPr>
          <w:rFonts w:ascii="Arial" w:hAnsi="Arial"/>
          <w:sz w:val="18"/>
        </w:rPr>
        <w:t xml:space="preserve">Get Britain Working: an update on the Jobs and Careers Service (DWP, 2 July 2026) — </w:t>
      </w:r>
      <w:hyperlink r:id="rId10">
        <w:r>
          <w:rPr>
            <w:rFonts w:ascii="Arial" w:hAnsi="Arial" w:cs="Arial"/>
            <w:color w:val="0064FF"/>
            <w:u w:val="single"/>
          </w:rPr>
          <w:t>www.gov.uk</w:t>
        </w:r>
      </w:hyperlink>
    </w:p>
    <w:p>
      <w:pPr>
        <w:pStyle w:val="ListBullet"/>
        <w:spacing w:after="40"/>
      </w:pPr>
      <w:r>
        <w:rPr>
          <w:rFonts w:ascii="Arial" w:hAnsi="Arial"/>
          <w:sz w:val="18"/>
        </w:rPr>
        <w:t xml:space="preserve">Youth jobs drive announcement (gov.uk, 29 June 2026) — </w:t>
      </w:r>
      <w:hyperlink r:id="rId11">
        <w:r>
          <w:rPr>
            <w:rFonts w:ascii="Arial" w:hAnsi="Arial" w:cs="Arial"/>
            <w:color w:val="0064FF"/>
            <w:u w:val="single"/>
          </w:rPr>
          <w:t>www.gov.uk</w:t>
        </w:r>
      </w:hyperlink>
    </w:p>
    <w:p>
      <w:pPr>
        <w:pStyle w:val="ListBullet"/>
        <w:spacing w:after="40"/>
      </w:pPr>
      <w:r>
        <w:rPr>
          <w:rFonts w:ascii="Arial" w:hAnsi="Arial"/>
          <w:sz w:val="18"/>
        </w:rPr>
        <w:t xml:space="preserve">Universal Credit rate changes from April 2026 (Commons Library CBP-10358) — </w:t>
      </w:r>
      <w:hyperlink r:id="rId12">
        <w:r>
          <w:rPr>
            <w:rFonts w:ascii="Arial" w:hAnsi="Arial" w:cs="Arial"/>
            <w:color w:val="0064FF"/>
            <w:u w:val="single"/>
          </w:rPr>
          <w:t>commonslibrary.parliament.uk</w:t>
        </w:r>
      </w:hyperlink>
    </w:p>
    <w:p>
      <w:pPr>
        <w:pStyle w:val="ListBullet"/>
        <w:spacing w:after="40"/>
      </w:pPr>
      <w:r>
        <w:rPr>
          <w:rFonts w:ascii="Arial" w:hAnsi="Arial"/>
          <w:sz w:val="18"/>
        </w:rPr>
        <w:t xml:space="preserve">Northern Growth Strategy: Next Steps (19 March 2026) — </w:t>
      </w:r>
      <w:hyperlink r:id="rId13">
        <w:r>
          <w:rPr>
            <w:rFonts w:ascii="Arial" w:hAnsi="Arial" w:cs="Arial"/>
            <w:color w:val="0064FF"/>
            <w:u w:val="single"/>
          </w:rPr>
          <w:t>www.gov.uk</w:t>
        </w:r>
      </w:hyperlink>
    </w:p>
    <w:p>
      <w:pPr>
        <w:pStyle w:val="ListBullet"/>
        <w:spacing w:after="40"/>
      </w:pPr>
      <w:r>
        <w:rPr>
          <w:rFonts w:ascii="Arial" w:hAnsi="Arial"/>
          <w:sz w:val="18"/>
        </w:rPr>
        <w:t xml:space="preserve">Written ministerial statement HCWS1423 (19 March 2026) — </w:t>
      </w:r>
      <w:hyperlink r:id="rId14">
        <w:r>
          <w:rPr>
            <w:rFonts w:ascii="Arial" w:hAnsi="Arial" w:cs="Arial"/>
            <w:color w:val="0064FF"/>
            <w:u w:val="single"/>
          </w:rPr>
          <w:t>questions-statements.parliament.uk</w:t>
        </w:r>
      </w:hyperlink>
    </w:p>
    <w:p>
      <w:pPr>
        <w:pStyle w:val="ListBullet"/>
        <w:spacing w:after="40"/>
      </w:pPr>
      <w:r>
        <w:rPr>
          <w:rFonts w:ascii="Arial" w:hAnsi="Arial"/>
          <w:sz w:val="18"/>
        </w:rPr>
        <w:t xml:space="preserve">Local Growth Fund (England) policy statement (MHCLG, 26 November 2025) — </w:t>
      </w:r>
      <w:hyperlink r:id="rId15">
        <w:r>
          <w:rPr>
            <w:rFonts w:ascii="Arial" w:hAnsi="Arial" w:cs="Arial"/>
            <w:color w:val="0064FF"/>
            <w:u w:val="single"/>
          </w:rPr>
          <w:t>www.gov.uk</w:t>
        </w:r>
      </w:hyperlink>
    </w:p>
    <w:p>
      <w:pPr>
        <w:pStyle w:val="ListBullet"/>
        <w:spacing w:after="40"/>
      </w:pPr>
      <w:r>
        <w:rPr>
          <w:rFonts w:ascii="Arial" w:hAnsi="Arial"/>
          <w:sz w:val="18"/>
        </w:rPr>
        <w:t xml:space="preserve">Integrated Settlements for mayoral combined authorities (collection) — </w:t>
      </w:r>
      <w:hyperlink r:id="rId16">
        <w:r>
          <w:rPr>
            <w:rFonts w:ascii="Arial" w:hAnsi="Arial" w:cs="Arial"/>
            <w:color w:val="0064FF"/>
            <w:u w:val="single"/>
          </w:rPr>
          <w:t>www.gov.uk</w:t>
        </w:r>
      </w:hyperlink>
    </w:p>
    <w:p>
      <w:pPr>
        <w:pStyle w:val="ListBullet"/>
        <w:spacing w:after="40"/>
      </w:pPr>
      <w:r>
        <w:rPr>
          <w:rFonts w:ascii="Arial" w:hAnsi="Arial"/>
          <w:sz w:val="18"/>
        </w:rPr>
        <w:t xml:space="preserve">English Devolution and Community Empowerment Act 2026 (Royal Assent 29 April 2026) — </w:t>
      </w:r>
      <w:hyperlink r:id="rId17">
        <w:r>
          <w:rPr>
            <w:rFonts w:ascii="Arial" w:hAnsi="Arial" w:cs="Arial"/>
            <w:color w:val="0064FF"/>
            <w:u w:val="single"/>
          </w:rPr>
          <w:t>bills.parliament.uk</w:t>
        </w:r>
      </w:hyperlink>
    </w:p>
    <w:p>
      <w:pPr>
        <w:pStyle w:val="ListBullet"/>
        <w:spacing w:after="40"/>
      </w:pPr>
      <w:r>
        <w:rPr>
          <w:rFonts w:ascii="Arial" w:hAnsi="Arial"/>
          <w:sz w:val="18"/>
        </w:rPr>
        <w:t xml:space="preserve">Industrial Strategy Sector Definitions List (updated 5 June 2026) — </w:t>
      </w:r>
      <w:hyperlink r:id="rId18">
        <w:r>
          <w:rPr>
            <w:rFonts w:ascii="Arial" w:hAnsi="Arial" w:cs="Arial"/>
            <w:color w:val="0064FF"/>
            <w:u w:val="single"/>
          </w:rPr>
          <w:t>www.gov.uk</w:t>
        </w:r>
      </w:hyperlink>
    </w:p>
    <w:p>
      <w:pPr>
        <w:pStyle w:val="ListBullet"/>
        <w:spacing w:after="40"/>
      </w:pPr>
      <w:r>
        <w:rPr>
          <w:rFonts w:ascii="Arial" w:hAnsi="Arial"/>
          <w:sz w:val="18"/>
        </w:rPr>
        <w:t xml:space="preserve">Industrial Strategy economic indicators methodology note (9 April 2026) — </w:t>
      </w:r>
      <w:hyperlink r:id="rId19">
        <w:r>
          <w:rPr>
            <w:rFonts w:ascii="Arial" w:hAnsi="Arial" w:cs="Arial"/>
            <w:color w:val="0064FF"/>
            <w:u w:val="single"/>
          </w:rPr>
          <w:t>www.gov.uk</w:t>
        </w:r>
      </w:hyperlink>
    </w:p>
    <w:p>
      <w:pPr>
        <w:pStyle w:val="ListBullet"/>
        <w:spacing w:after="40"/>
      </w:pPr>
      <w:r>
        <w:rPr>
          <w:rFonts w:ascii="Arial" w:hAnsi="Arial"/>
          <w:sz w:val="18"/>
        </w:rPr>
        <w:t xml:space="preserve">IS-8 sectors by country and region (Commons Library CBP-10439, June 2026) — </w:t>
      </w:r>
      <w:hyperlink r:id="rId20">
        <w:r>
          <w:rPr>
            <w:rFonts w:ascii="Arial" w:hAnsi="Arial" w:cs="Arial"/>
            <w:color w:val="0064FF"/>
            <w:u w:val="single"/>
          </w:rPr>
          <w:t>commonslibrary.parliament.uk</w:t>
        </w:r>
      </w:hyperlink>
    </w:p>
    <w:p>
      <w:pPr>
        <w:pStyle w:val="ListBullet"/>
        <w:spacing w:after="40"/>
      </w:pPr>
      <w:r>
        <w:rPr>
          <w:rFonts w:ascii="Arial" w:hAnsi="Arial"/>
          <w:sz w:val="18"/>
        </w:rPr>
        <w:t xml:space="preserve">Code of Practice for Statistics 3.0 — what has changed (UKSA, 30 October 2025) — </w:t>
      </w:r>
      <w:hyperlink r:id="rId21">
        <w:r>
          <w:rPr>
            <w:rFonts w:ascii="Arial" w:hAnsi="Arial" w:cs="Arial"/>
            <w:color w:val="0064FF"/>
            <w:u w:val="single"/>
          </w:rPr>
          <w:t>code.statisticsauthority.gov.uk</w:t>
        </w:r>
      </w:hyperlink>
    </w:p>
    <w:p>
      <w:pPr>
        <w:pStyle w:val="ListBullet"/>
        <w:spacing w:after="40"/>
      </w:pPr>
      <w:r>
        <w:rPr>
          <w:rFonts w:ascii="Arial" w:hAnsi="Arial"/>
          <w:sz w:val="18"/>
        </w:rPr>
        <w:t xml:space="preserve">UK SIC 2026 guidance (ONS, April 2026) — </w:t>
      </w:r>
      <w:hyperlink r:id="rId22">
        <w:r>
          <w:rPr>
            <w:rFonts w:ascii="Arial" w:hAnsi="Arial" w:cs="Arial"/>
            <w:color w:val="0064FF"/>
            <w:u w:val="single"/>
          </w:rPr>
          <w:t>www.ons.gov.uk</w:t>
        </w:r>
      </w:hyperlink>
    </w:p>
    <w:p>
      <w:pPr>
        <w:pStyle w:val="ListBullet"/>
        <w:spacing w:after="40"/>
      </w:pPr>
      <w:r>
        <w:rPr>
          <w:rFonts w:ascii="Arial" w:hAnsi="Arial"/>
          <w:sz w:val="18"/>
        </w:rPr>
        <w:t xml:space="preserve">Warm Homes Plan (DESNZ, 21 January 2026) — </w:t>
      </w:r>
      <w:hyperlink r:id="rId23">
        <w:r>
          <w:rPr>
            <w:rFonts w:ascii="Arial" w:hAnsi="Arial" w:cs="Arial"/>
            <w:color w:val="0064FF"/>
            <w:u w:val="single"/>
          </w:rPr>
          <w:t>www.gov.uk</w:t>
        </w:r>
      </w:hyperlink>
    </w:p>
    <w:p>
      <w:pPr>
        <w:pStyle w:val="ListBullet"/>
        <w:spacing w:after="40"/>
      </w:pPr>
      <w:r>
        <w:rPr>
          <w:rFonts w:ascii="Arial" w:hAnsi="Arial"/>
          <w:sz w:val="18"/>
        </w:rPr>
        <w:t xml:space="preserve">Creative Places Growth Fund: six regions receive £25m (29 September 2025) — </w:t>
      </w:r>
      <w:hyperlink r:id="rId24">
        <w:r>
          <w:rPr>
            <w:rFonts w:ascii="Arial" w:hAnsi="Arial" w:cs="Arial"/>
            <w:color w:val="0064FF"/>
            <w:u w:val="single"/>
          </w:rPr>
          <w:t>www.gov.uk</w:t>
        </w:r>
      </w:hyperlink>
    </w:p>
    <w:p>
      <w:pPr>
        <w:pStyle w:val="ListBullet"/>
        <w:spacing w:after="40"/>
      </w:pPr>
      <w:r>
        <w:rPr>
          <w:rFonts w:ascii="Arial" w:hAnsi="Arial"/>
          <w:sz w:val="18"/>
        </w:rPr>
        <w:t xml:space="preserve">North East AI skills drive (gov.uk, 12 May 2026) — </w:t>
      </w:r>
      <w:hyperlink r:id="rId25">
        <w:r>
          <w:rPr>
            <w:rFonts w:ascii="Arial" w:hAnsi="Arial" w:cs="Arial"/>
            <w:color w:val="0064FF"/>
            <w:u w:val="single"/>
          </w:rPr>
          <w:t>www.gov.uk</w:t>
        </w:r>
      </w:hyperlink>
    </w:p>
    <w:p>
      <w:pPr>
        <w:pStyle w:val="ListBullet"/>
        <w:spacing w:after="40"/>
      </w:pPr>
      <w:r>
        <w:rPr>
          <w:rFonts w:ascii="Arial" w:hAnsi="Arial"/>
          <w:sz w:val="18"/>
        </w:rPr>
        <w:t xml:space="preserve">QTS North East AI Growth Zone commitment (Data Centre Review, April 2026 — press) — </w:t>
      </w:r>
      <w:hyperlink r:id="rId26">
        <w:r>
          <w:rPr>
            <w:rFonts w:ascii="Arial" w:hAnsi="Arial" w:cs="Arial"/>
            <w:color w:val="0064FF"/>
            <w:u w:val="single"/>
          </w:rPr>
          <w:t>datacentrereview.com</w:t>
        </w:r>
      </w:hyperlink>
    </w:p>
    <w:p>
      <w:pPr>
        <w:pStyle w:val="ListBullet"/>
        <w:spacing w:after="40"/>
      </w:pPr>
      <w:r>
        <w:rPr>
          <w:rFonts w:ascii="Arial" w:hAnsi="Arial"/>
          <w:sz w:val="18"/>
        </w:rPr>
        <w:t xml:space="preserve">OpenAI pause reports (Place North East, April 2026 — press, unverified) — </w:t>
      </w:r>
      <w:hyperlink r:id="rId27">
        <w:r>
          <w:rPr>
            <w:rFonts w:ascii="Arial" w:hAnsi="Arial" w:cs="Arial"/>
            <w:color w:val="0064FF"/>
            <w:u w:val="single"/>
          </w:rPr>
          <w:t>www.placenortheast.co.uk</w:t>
        </w:r>
      </w:hyperlink>
    </w:p>
    <w:p>
      <w:pPr>
        <w:pStyle w:val="ListBullet"/>
        <w:spacing w:after="40"/>
      </w:pPr>
      <w:r>
        <w:rPr>
          <w:rFonts w:ascii="Arial" w:hAnsi="Arial"/>
          <w:sz w:val="18"/>
        </w:rPr>
        <w:t xml:space="preserve">CMS Committee tourism inquiry (parliament.uk) — </w:t>
      </w:r>
      <w:hyperlink r:id="rId28">
        <w:r>
          <w:rPr>
            <w:rFonts w:ascii="Arial" w:hAnsi="Arial" w:cs="Arial"/>
            <w:color w:val="0064FF"/>
            <w:u w:val="single"/>
          </w:rPr>
          <w:t>committees.parliament.uk</w:t>
        </w:r>
      </w:hyperlink>
    </w:p>
    <w:p>
      <w:pPr>
        <w:pStyle w:val="ListBullet"/>
        <w:spacing w:after="40"/>
      </w:pPr>
      <w:r>
        <w:rPr>
          <w:rFonts w:ascii="Arial" w:hAnsi="Arial"/>
          <w:sz w:val="18"/>
        </w:rPr>
        <w:t xml:space="preserve">Tourism: statistics and policy (Commons Library SN06022, 11 February 2026) — </w:t>
      </w:r>
      <w:hyperlink r:id="rId29">
        <w:r>
          <w:rPr>
            <w:rFonts w:ascii="Arial" w:hAnsi="Arial" w:cs="Arial"/>
            <w:color w:val="0064FF"/>
            <w:u w:val="single"/>
          </w:rPr>
          <w:t>commonslibrary.parliament.uk</w:t>
        </w:r>
      </w:hyperlink>
    </w:p>
    <w:p>
      <w:pPr>
        <w:spacing w:after="120"/>
      </w:pPr>
      <w:r>
        <w:rPr>
          <w:rFonts w:ascii="Arial" w:hAnsi="Arial"/>
        </w:rPr>
      </w:r>
    </w:p>
    <w:p>
      <w:pPr>
        <w:pStyle w:val="SourceLine"/>
        <w:spacing w:after="200"/>
      </w:pPr>
      <w:r>
        <w:rPr>
          <w:rFonts w:ascii="Arial" w:hAnsi="Arial"/>
        </w:rPr>
        <w:t>Prepared by Economic Intelligence, Gateshead Council. Policy scan run 3 July 2026 against the team's recorded policy baseline; free public official sources only.</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67676"/>
        <w:sz w:val="17"/>
      </w:rPr>
      <w:t>Gateshead Council — Economic Intelligence</w:t>
      <w:tab/>
      <w:tab/>
    </w:r>
    <w:r>
      <w:rPr>
        <w:rFonts w:ascii="Arial" w:hAnsi="Arial"/>
        <w:color w:val="76767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D1D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721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721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B469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 Line"/>
    <w:basedOn w:val="Normal"/>
    <w:rPr>
      <w:rFonts w:ascii="Arial" w:hAnsi="Arial" w:cs="Arial"/>
      <w:b w:val="0"/>
      <w:i/>
      <w:color w:val="767676"/>
      <w:sz w:val="17"/>
    </w:rPr>
  </w:style>
  <w:style w:type="paragraph" w:customStyle="1" w:styleId="Caveat">
    <w:name w:val="Caveat"/>
    <w:basedOn w:val="Normal"/>
    <w:rPr>
      <w:rFonts w:ascii="Arial" w:hAnsi="Arial" w:cs="Arial"/>
      <w:b w:val="0"/>
      <w:i w:val="0"/>
      <w:color w:val="6B5320"/>
      <w:sz w:val="19"/>
    </w:rPr>
  </w:style>
  <w:style w:type="paragraph" w:customStyle="1" w:styleId="KeyStat">
    <w:name w:val="Key Stat"/>
    <w:basedOn w:val="Normal"/>
    <w:rPr>
      <w:rFonts w:ascii="Arial" w:hAnsi="Arial" w:cs="Arial"/>
      <w:b/>
      <w:i w:val="0"/>
      <w:color w:val="DE1263"/>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gov.uk/government/publications/get-britain-working-an-update-on-the-jobs-and-careers-service/get-britain-working-an-update-on-the-jobs-and-careers-service" TargetMode="External"/><Relationship Id="rId11" Type="http://schemas.openxmlformats.org/officeDocument/2006/relationships/hyperlink" Target="https://www.gov.uk/government/news/funding-for-businesses-who-give-youngsters-a-chance-as-government-ramps-up-youth-jobs-drive" TargetMode="External"/><Relationship Id="rId12" Type="http://schemas.openxmlformats.org/officeDocument/2006/relationships/hyperlink" Target="https://commonslibrary.parliament.uk/research-briefings/cbp-10358/" TargetMode="External"/><Relationship Id="rId13" Type="http://schemas.openxmlformats.org/officeDocument/2006/relationships/hyperlink" Target="https://www.gov.uk/government/publications/northern-growth-strategy-case-for-change/northern-growth-strategy-next-steps" TargetMode="External"/><Relationship Id="rId14" Type="http://schemas.openxmlformats.org/officeDocument/2006/relationships/hyperlink" Target="https://questions-statements.parliament.uk/written-statements/detail/2026-03-19/hcws1423" TargetMode="External"/><Relationship Id="rId15" Type="http://schemas.openxmlformats.org/officeDocument/2006/relationships/hyperlink" Target="https://www.gov.uk/government/publications/local-growth-fund-england-policy-statement/local-growth-fund-england-policy-statement" TargetMode="External"/><Relationship Id="rId16" Type="http://schemas.openxmlformats.org/officeDocument/2006/relationships/hyperlink" Target="https://www.gov.uk/government/collections/integrated-settlements-for-mayoral-combined-authorities" TargetMode="External"/><Relationship Id="rId17" Type="http://schemas.openxmlformats.org/officeDocument/2006/relationships/hyperlink" Target="https://bills.parliament.uk/bills/4002" TargetMode="External"/><Relationship Id="rId18" Type="http://schemas.openxmlformats.org/officeDocument/2006/relationships/hyperlink" Target="https://www.gov.uk/government/publications/industrial-strategy/industrial-strategy-sector-definitions-list" TargetMode="External"/><Relationship Id="rId19" Type="http://schemas.openxmlformats.org/officeDocument/2006/relationships/hyperlink" Target="https://www.gov.uk/government/publications/industrial-strategy-quarterly-update-january-to-march-2026/industrial-strategy-economic-indicators-methodology-note-january-to-march-2026" TargetMode="External"/><Relationship Id="rId20" Type="http://schemas.openxmlformats.org/officeDocument/2006/relationships/hyperlink" Target="https://commonslibrary.parliament.uk/research-briefings/cbp-10439/" TargetMode="External"/><Relationship Id="rId21" Type="http://schemas.openxmlformats.org/officeDocument/2006/relationships/hyperlink" Target="https://code.statisticsauthority.gov.uk/code-of-practice-for-statistics-3-0-what-has-changed/" TargetMode="External"/><Relationship Id="rId22" Type="http://schemas.openxmlformats.org/officeDocument/2006/relationships/hyperlink" Target="https://www.ons.gov.uk/methodology/classificationsandstandards/ukstandardindustrialclassificationofeconomicactivities/uksic2026guidance" TargetMode="External"/><Relationship Id="rId23" Type="http://schemas.openxmlformats.org/officeDocument/2006/relationships/hyperlink" Target="https://www.gov.uk/government/publications/warm-homes-plan" TargetMode="External"/><Relationship Id="rId24" Type="http://schemas.openxmlformats.org/officeDocument/2006/relationships/hyperlink" Target="https://www.gov.uk/government/news/six-regions-receive-25-million-to-bolster-creative-industries" TargetMode="External"/><Relationship Id="rId25" Type="http://schemas.openxmlformats.org/officeDocument/2006/relationships/hyperlink" Target="https://www.gov.uk/government/news/north-east-ai-drive-to-boost-local-skills-and-business-growth-opportunities" TargetMode="External"/><Relationship Id="rId26" Type="http://schemas.openxmlformats.org/officeDocument/2006/relationships/hyperlink" Target="https://datacentrereview.com/2026/04/qts-reaffirms-commitment-to-north-east-ai-growth-zone/" TargetMode="External"/><Relationship Id="rId27" Type="http://schemas.openxmlformats.org/officeDocument/2006/relationships/hyperlink" Target="https://www.placenortheast.co.uk/qts-doubles-down-as-openai-pauses-north-east-data-centre-ambitions/" TargetMode="External"/><Relationship Id="rId28" Type="http://schemas.openxmlformats.org/officeDocument/2006/relationships/hyperlink" Target="https://committees.parliament.uk/work/9732/tourism/" TargetMode="External"/><Relationship Id="rId29" Type="http://schemas.openxmlformats.org/officeDocument/2006/relationships/hyperlink" Target="https://commonslibrary.parliament.uk/research-briefings/sn06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