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Arial" w:hAnsi="Arial"/>
          <w:b/>
          <w:color w:val="0F172A"/>
          <w:sz w:val="26"/>
          <w:rFonts w:ascii="Arial" w:hAnsi="Arial" w:cs="Arial"/>
        </w:rPr>
        <w:t>RegNetY-16GF + KAN Sınıflandırma Performans Tabloları</w:t>
      </w:r>
    </w:p>
    <w:p>
      <w:pPr>
        <w:spacing w:before="80" w:after="80"/>
      </w:pPr>
      <w:r>
        <w:rPr>
          <w:rFonts w:ascii="Arial" w:hAnsi="Arial"/>
          <w:b/>
          <w:color w:val="1F2937"/>
          <w:sz w:val="22"/>
          <w:rFonts w:ascii="Arial" w:hAnsi="Arial" w:cs="Arial"/>
        </w:rPr>
        <w:t>Tablo 1: 4 Sınıflı Servikal Sitoloji Sınıflandırma Performansı (LSIL, HSIL [CIS dahil], SCC, Adeno)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7C3"/>
          <w:bottom w:val="single" w:sz="4" w:space="0" w:color="B0B7C3"/>
          <w:left w:val="single" w:sz="4" w:space="0" w:color="B0B7C3"/>
          <w:right w:val="single" w:sz="4" w:space="0" w:color="B0B7C3"/>
          <w:insideH w:val="single" w:sz="4" w:space="0" w:color="B0B7C3"/>
          <w:insideV w:val="single" w:sz="4" w:space="0" w:color="B0B7C3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800"/>
            <w:vAlign w:val="center"/>
            <w:shd w:fill="EAEF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Sınıf Adı</w:t>
            </w:r>
          </w:p>
        </w:tc>
        <w:tc>
          <w:tcPr>
            <w:tcW w:type="dxa" w:w="1008"/>
            <w:vAlign w:val="center"/>
            <w:shd w:fill="EAEF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Örnek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Sayısı</w:t>
            </w:r>
          </w:p>
        </w:tc>
        <w:tc>
          <w:tcPr>
            <w:tcW w:type="dxa" w:w="1296"/>
            <w:vAlign w:val="center"/>
            <w:shd w:fill="EAEF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Accuracy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(ACC)</w:t>
            </w:r>
          </w:p>
        </w:tc>
        <w:tc>
          <w:tcPr>
            <w:tcW w:type="dxa" w:w="1368"/>
            <w:vAlign w:val="center"/>
            <w:shd w:fill="EAEF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Sensitivity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(SEN / Recall)</w:t>
            </w:r>
          </w:p>
        </w:tc>
        <w:tc>
          <w:tcPr>
            <w:tcW w:type="dxa" w:w="1224"/>
            <w:vAlign w:val="center"/>
            <w:shd w:fill="EAEF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Specificity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(SPE)</w:t>
            </w:r>
          </w:p>
        </w:tc>
        <w:tc>
          <w:tcPr>
            <w:tcW w:type="dxa" w:w="1224"/>
            <w:vAlign w:val="center"/>
            <w:shd w:fill="EAEF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Precision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(PRE)</w:t>
            </w:r>
          </w:p>
        </w:tc>
        <w:tc>
          <w:tcPr>
            <w:tcW w:type="dxa" w:w="1224"/>
            <w:vAlign w:val="center"/>
            <w:shd w:fill="EAEF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F1-Score</w:t>
            </w:r>
          </w:p>
        </w:tc>
        <w:tc>
          <w:tcPr>
            <w:tcW w:type="dxa" w:w="1296"/>
            <w:vAlign w:val="center"/>
            <w:shd w:fill="EAEF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Multi-Class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AUC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LSIL</w:t>
            </w:r>
          </w:p>
        </w:tc>
        <w:tc>
          <w:tcPr>
            <w:tcW w:type="dxa" w:w="100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1,419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0.9797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(%97.97)</w:t>
            </w:r>
          </w:p>
        </w:tc>
        <w:tc>
          <w:tcPr>
            <w:tcW w:type="dxa" w:w="136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0.9225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(%92.25)</w:t>
            </w:r>
          </w:p>
        </w:tc>
        <w:tc>
          <w:tcPr>
            <w:tcW w:type="dxa" w:w="122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0.9957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(%99.57)</w:t>
            </w:r>
          </w:p>
        </w:tc>
        <w:tc>
          <w:tcPr>
            <w:tcW w:type="dxa" w:w="122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0.9835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(%98.35)</w:t>
            </w:r>
          </w:p>
        </w:tc>
        <w:tc>
          <w:tcPr>
            <w:tcW w:type="dxa" w:w="122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0.9520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(%95.20)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0.9955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(%99.55)</w:t>
            </w:r>
          </w:p>
        </w:tc>
      </w:tr>
      <w:tr>
        <w:tc>
          <w:tcPr>
            <w:tcW w:type="dxa" w:w="1800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HSIL (CIS dahil)</w:t>
            </w:r>
          </w:p>
        </w:tc>
        <w:tc>
          <w:tcPr>
            <w:tcW w:type="dxa" w:w="1008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2,101</w:t>
            </w:r>
          </w:p>
        </w:tc>
        <w:tc>
          <w:tcPr>
            <w:tcW w:type="dxa" w:w="1296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0.9475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(%94.75)</w:t>
            </w:r>
          </w:p>
        </w:tc>
        <w:tc>
          <w:tcPr>
            <w:tcW w:type="dxa" w:w="1368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0.9286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(%92.86)</w:t>
            </w:r>
          </w:p>
        </w:tc>
        <w:tc>
          <w:tcPr>
            <w:tcW w:type="dxa" w:w="1224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0.9566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(%95.66)</w:t>
            </w:r>
          </w:p>
        </w:tc>
        <w:tc>
          <w:tcPr>
            <w:tcW w:type="dxa" w:w="1224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0.9108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(%91.08)</w:t>
            </w:r>
          </w:p>
        </w:tc>
        <w:tc>
          <w:tcPr>
            <w:tcW w:type="dxa" w:w="1224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0.9196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(%91.96)</w:t>
            </w:r>
          </w:p>
        </w:tc>
        <w:tc>
          <w:tcPr>
            <w:tcW w:type="dxa" w:w="1296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0.9857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(%98.57)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SCC</w:t>
            </w:r>
          </w:p>
        </w:tc>
        <w:tc>
          <w:tcPr>
            <w:tcW w:type="dxa" w:w="100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2,552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0.9619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(%96.19)</w:t>
            </w:r>
          </w:p>
        </w:tc>
        <w:tc>
          <w:tcPr>
            <w:tcW w:type="dxa" w:w="136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0.9495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(%94.95)</w:t>
            </w:r>
          </w:p>
        </w:tc>
        <w:tc>
          <w:tcPr>
            <w:tcW w:type="dxa" w:w="122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0.9699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(%96.99)</w:t>
            </w:r>
          </w:p>
        </w:tc>
        <w:tc>
          <w:tcPr>
            <w:tcW w:type="dxa" w:w="122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0.9532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(%95.32)</w:t>
            </w:r>
          </w:p>
        </w:tc>
        <w:tc>
          <w:tcPr>
            <w:tcW w:type="dxa" w:w="122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0.9513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(%95.13)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0.9882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(%98.82)</w:t>
            </w:r>
          </w:p>
        </w:tc>
      </w:tr>
      <w:tr>
        <w:tc>
          <w:tcPr>
            <w:tcW w:type="dxa" w:w="1800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Adeno</w:t>
            </w:r>
          </w:p>
        </w:tc>
        <w:tc>
          <w:tcPr>
            <w:tcW w:type="dxa" w:w="1008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429</w:t>
            </w:r>
          </w:p>
        </w:tc>
        <w:tc>
          <w:tcPr>
            <w:tcW w:type="dxa" w:w="1296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0.9878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(%98.78)</w:t>
            </w:r>
          </w:p>
        </w:tc>
        <w:tc>
          <w:tcPr>
            <w:tcW w:type="dxa" w:w="1368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0.9744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(%97.44)</w:t>
            </w:r>
          </w:p>
        </w:tc>
        <w:tc>
          <w:tcPr>
            <w:tcW w:type="dxa" w:w="1224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0.9888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(%98.88)</w:t>
            </w:r>
          </w:p>
        </w:tc>
        <w:tc>
          <w:tcPr>
            <w:tcW w:type="dxa" w:w="1224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0.8601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(%86.01)</w:t>
            </w:r>
          </w:p>
        </w:tc>
        <w:tc>
          <w:tcPr>
            <w:tcW w:type="dxa" w:w="1224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0.9137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(%91.37)</w:t>
            </w:r>
          </w:p>
        </w:tc>
        <w:tc>
          <w:tcPr>
            <w:tcW w:type="dxa" w:w="1296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0.9990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(%99.90)</w:t>
            </w:r>
          </w:p>
        </w:tc>
      </w:tr>
      <w:tr>
        <w:tc>
          <w:tcPr>
            <w:tcW w:type="dxa" w:w="1800"/>
            <w:vAlign w:val="center"/>
            <w:shd w:fill="EE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Macro Average</w:t>
            </w:r>
          </w:p>
        </w:tc>
        <w:tc>
          <w:tcPr>
            <w:tcW w:type="dxa" w:w="1008"/>
            <w:vAlign w:val="center"/>
            <w:shd w:fill="EE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6,501</w:t>
            </w:r>
          </w:p>
        </w:tc>
        <w:tc>
          <w:tcPr>
            <w:tcW w:type="dxa" w:w="1296"/>
            <w:vAlign w:val="center"/>
            <w:shd w:fill="EE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0.9385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(%93.85)</w:t>
            </w:r>
          </w:p>
        </w:tc>
        <w:tc>
          <w:tcPr>
            <w:tcW w:type="dxa" w:w="1368"/>
            <w:vAlign w:val="center"/>
            <w:shd w:fill="EE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0.9437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(%94.37)</w:t>
            </w:r>
          </w:p>
        </w:tc>
        <w:tc>
          <w:tcPr>
            <w:tcW w:type="dxa" w:w="1224"/>
            <w:vAlign w:val="center"/>
            <w:shd w:fill="EE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0.9777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(%97.77)</w:t>
            </w:r>
          </w:p>
        </w:tc>
        <w:tc>
          <w:tcPr>
            <w:tcW w:type="dxa" w:w="1224"/>
            <w:vAlign w:val="center"/>
            <w:shd w:fill="EE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0.9269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(%92.69)</w:t>
            </w:r>
          </w:p>
        </w:tc>
        <w:tc>
          <w:tcPr>
            <w:tcW w:type="dxa" w:w="1224"/>
            <w:vAlign w:val="center"/>
            <w:shd w:fill="EE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0.9342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(%93.42)</w:t>
            </w:r>
          </w:p>
        </w:tc>
        <w:tc>
          <w:tcPr>
            <w:tcW w:type="dxa" w:w="1296"/>
            <w:vAlign w:val="center"/>
            <w:shd w:fill="EE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0.9921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(%99.21)</w:t>
            </w:r>
          </w:p>
        </w:tc>
      </w:tr>
    </w:tbl>
    <w:p>
      <w:pPr>
        <w:spacing w:before="320" w:after="0"/>
      </w:pPr>
    </w:p>
    <w:p>
      <w:pPr>
        <w:spacing w:before="80" w:after="80"/>
      </w:pPr>
      <w:r>
        <w:rPr>
          <w:rFonts w:ascii="Arial" w:hAnsi="Arial"/>
          <w:b/>
          <w:color w:val="1F2937"/>
          <w:sz w:val="22"/>
          <w:rFonts w:ascii="Arial" w:hAnsi="Arial" w:cs="Arial"/>
        </w:rPr>
        <w:t>Tablo 2: 5 Sınıflı Standart Bethesda Sınıflandırma Performansı (NILM, LSIL, HSIL [CIS dahil], SCC, Adeno)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7C3"/>
          <w:bottom w:val="single" w:sz="4" w:space="0" w:color="B0B7C3"/>
          <w:left w:val="single" w:sz="4" w:space="0" w:color="B0B7C3"/>
          <w:right w:val="single" w:sz="4" w:space="0" w:color="B0B7C3"/>
          <w:insideH w:val="single" w:sz="4" w:space="0" w:color="B0B7C3"/>
          <w:insideV w:val="single" w:sz="4" w:space="0" w:color="B0B7C3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800"/>
            <w:vAlign w:val="center"/>
            <w:shd w:fill="EAEF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Sınıf Adı</w:t>
            </w:r>
          </w:p>
        </w:tc>
        <w:tc>
          <w:tcPr>
            <w:tcW w:type="dxa" w:w="1008"/>
            <w:vAlign w:val="center"/>
            <w:shd w:fill="EAEF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Örnek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Sayısı</w:t>
            </w:r>
          </w:p>
        </w:tc>
        <w:tc>
          <w:tcPr>
            <w:tcW w:type="dxa" w:w="1296"/>
            <w:vAlign w:val="center"/>
            <w:shd w:fill="EAEF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Accuracy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(ACC)</w:t>
            </w:r>
          </w:p>
        </w:tc>
        <w:tc>
          <w:tcPr>
            <w:tcW w:type="dxa" w:w="1296"/>
            <w:vAlign w:val="center"/>
            <w:shd w:fill="EAEF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Sensitivity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(SEN)</w:t>
            </w:r>
          </w:p>
        </w:tc>
        <w:tc>
          <w:tcPr>
            <w:tcW w:type="dxa" w:w="1224"/>
            <w:vAlign w:val="center"/>
            <w:shd w:fill="EAEF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Specificity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(SPE)</w:t>
            </w:r>
          </w:p>
        </w:tc>
        <w:tc>
          <w:tcPr>
            <w:tcW w:type="dxa" w:w="1224"/>
            <w:vAlign w:val="center"/>
            <w:shd w:fill="EAEF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Precision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(PRE)</w:t>
            </w:r>
          </w:p>
        </w:tc>
        <w:tc>
          <w:tcPr>
            <w:tcW w:type="dxa" w:w="1224"/>
            <w:vAlign w:val="center"/>
            <w:shd w:fill="EAEF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F1-Score</w:t>
            </w:r>
          </w:p>
        </w:tc>
        <w:tc>
          <w:tcPr>
            <w:tcW w:type="dxa" w:w="1296"/>
            <w:vAlign w:val="center"/>
            <w:shd w:fill="EAEFF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AUC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NILM (Normal)</w:t>
            </w:r>
          </w:p>
        </w:tc>
        <w:tc>
          <w:tcPr>
            <w:tcW w:type="dxa" w:w="100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6,248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0.9747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0.9774</w:t>
            </w:r>
          </w:p>
        </w:tc>
        <w:tc>
          <w:tcPr>
            <w:tcW w:type="dxa" w:w="122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0.9722</w:t>
            </w:r>
          </w:p>
        </w:tc>
        <w:tc>
          <w:tcPr>
            <w:tcW w:type="dxa" w:w="122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0.9712</w:t>
            </w:r>
          </w:p>
        </w:tc>
        <w:tc>
          <w:tcPr>
            <w:tcW w:type="dxa" w:w="122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0.9743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0.9920</w:t>
            </w:r>
          </w:p>
        </w:tc>
      </w:tr>
      <w:tr>
        <w:tc>
          <w:tcPr>
            <w:tcW w:type="dxa" w:w="1800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LSIL</w:t>
            </w:r>
          </w:p>
        </w:tc>
        <w:tc>
          <w:tcPr>
            <w:tcW w:type="dxa" w:w="1008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1,419</w:t>
            </w:r>
          </w:p>
        </w:tc>
        <w:tc>
          <w:tcPr>
            <w:tcW w:type="dxa" w:w="1296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0.9861</w:t>
            </w:r>
          </w:p>
        </w:tc>
        <w:tc>
          <w:tcPr>
            <w:tcW w:type="dxa" w:w="1296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0.9084</w:t>
            </w:r>
          </w:p>
        </w:tc>
        <w:tc>
          <w:tcPr>
            <w:tcW w:type="dxa" w:w="1224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0.9959</w:t>
            </w:r>
          </w:p>
        </w:tc>
        <w:tc>
          <w:tcPr>
            <w:tcW w:type="dxa" w:w="1224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0.9648</w:t>
            </w:r>
          </w:p>
        </w:tc>
        <w:tc>
          <w:tcPr>
            <w:tcW w:type="dxa" w:w="1224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0.9358</w:t>
            </w:r>
          </w:p>
        </w:tc>
        <w:tc>
          <w:tcPr>
            <w:tcW w:type="dxa" w:w="1296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0.9898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HSIL (CIS dahil)</w:t>
            </w:r>
          </w:p>
        </w:tc>
        <w:tc>
          <w:tcPr>
            <w:tcW w:type="dxa" w:w="100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2,101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0.9671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0.9143</w:t>
            </w:r>
          </w:p>
        </w:tc>
        <w:tc>
          <w:tcPr>
            <w:tcW w:type="dxa" w:w="122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0.9775</w:t>
            </w:r>
          </w:p>
        </w:tc>
        <w:tc>
          <w:tcPr>
            <w:tcW w:type="dxa" w:w="122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0.8889</w:t>
            </w:r>
          </w:p>
        </w:tc>
        <w:tc>
          <w:tcPr>
            <w:tcW w:type="dxa" w:w="122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0.9015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0.9815</w:t>
            </w:r>
          </w:p>
        </w:tc>
      </w:tr>
      <w:tr>
        <w:tc>
          <w:tcPr>
            <w:tcW w:type="dxa" w:w="1800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SCC</w:t>
            </w:r>
          </w:p>
        </w:tc>
        <w:tc>
          <w:tcPr>
            <w:tcW w:type="dxa" w:w="1008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2,552</w:t>
            </w:r>
          </w:p>
        </w:tc>
        <w:tc>
          <w:tcPr>
            <w:tcW w:type="dxa" w:w="1296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0.9757</w:t>
            </w:r>
          </w:p>
        </w:tc>
        <w:tc>
          <w:tcPr>
            <w:tcW w:type="dxa" w:w="1296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0.9369</w:t>
            </w:r>
          </w:p>
        </w:tc>
        <w:tc>
          <w:tcPr>
            <w:tcW w:type="dxa" w:w="1224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0.9854</w:t>
            </w:r>
          </w:p>
        </w:tc>
        <w:tc>
          <w:tcPr>
            <w:tcW w:type="dxa" w:w="1224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0.9413</w:t>
            </w:r>
          </w:p>
        </w:tc>
        <w:tc>
          <w:tcPr>
            <w:tcW w:type="dxa" w:w="1224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0.9391</w:t>
            </w:r>
          </w:p>
        </w:tc>
        <w:tc>
          <w:tcPr>
            <w:tcW w:type="dxa" w:w="1296"/>
            <w:vAlign w:val="center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0.9865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Adeno</w:t>
            </w:r>
          </w:p>
        </w:tc>
        <w:tc>
          <w:tcPr>
            <w:tcW w:type="dxa" w:w="100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429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0.9987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0.9744</w:t>
            </w:r>
          </w:p>
        </w:tc>
        <w:tc>
          <w:tcPr>
            <w:tcW w:type="dxa" w:w="122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0.9995</w:t>
            </w:r>
          </w:p>
        </w:tc>
        <w:tc>
          <w:tcPr>
            <w:tcW w:type="dxa" w:w="122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0.9858</w:t>
            </w:r>
          </w:p>
        </w:tc>
        <w:tc>
          <w:tcPr>
            <w:tcW w:type="dxa" w:w="122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0.9801</w:t>
            </w:r>
          </w:p>
        </w:tc>
        <w:tc>
          <w:tcPr>
            <w:tcW w:type="dxa" w:w="1296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 w:val="0"/>
                <w:color w:val="1A1A1A"/>
                <w:sz w:val="22"/>
                <w:rFonts w:ascii="Arial" w:hAnsi="Arial" w:cs="Arial"/>
              </w:rPr>
              <w:t>0.9953</w:t>
            </w:r>
          </w:p>
        </w:tc>
      </w:tr>
      <w:tr>
        <w:tc>
          <w:tcPr>
            <w:tcW w:type="dxa" w:w="1800"/>
            <w:vAlign w:val="center"/>
            <w:shd w:fill="EE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left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Macro Average</w:t>
            </w:r>
          </w:p>
        </w:tc>
        <w:tc>
          <w:tcPr>
            <w:tcW w:type="dxa" w:w="1008"/>
            <w:vAlign w:val="center"/>
            <w:shd w:fill="EE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12,749</w:t>
            </w:r>
          </w:p>
        </w:tc>
        <w:tc>
          <w:tcPr>
            <w:tcW w:type="dxa" w:w="1296"/>
            <w:vAlign w:val="center"/>
            <w:shd w:fill="EE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0.9511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(%95.11)</w:t>
            </w:r>
          </w:p>
        </w:tc>
        <w:tc>
          <w:tcPr>
            <w:tcW w:type="dxa" w:w="1296"/>
            <w:vAlign w:val="center"/>
            <w:shd w:fill="EE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0.9423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(%94.23)</w:t>
            </w:r>
          </w:p>
        </w:tc>
        <w:tc>
          <w:tcPr>
            <w:tcW w:type="dxa" w:w="1224"/>
            <w:vAlign w:val="center"/>
            <w:shd w:fill="EE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0.9861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(%98.61)</w:t>
            </w:r>
          </w:p>
        </w:tc>
        <w:tc>
          <w:tcPr>
            <w:tcW w:type="dxa" w:w="1224"/>
            <w:vAlign w:val="center"/>
            <w:shd w:fill="EE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0.9504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(%95.04)</w:t>
            </w:r>
          </w:p>
        </w:tc>
        <w:tc>
          <w:tcPr>
            <w:tcW w:type="dxa" w:w="1224"/>
            <w:vAlign w:val="center"/>
            <w:shd w:fill="EE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0.9461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(%94.61)</w:t>
            </w:r>
          </w:p>
        </w:tc>
        <w:tc>
          <w:tcPr>
            <w:tcW w:type="dxa" w:w="1296"/>
            <w:vAlign w:val="center"/>
            <w:shd w:fill="EEF2F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60" w:after="60" w:line="252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0.9890</w:t>
            </w:r>
          </w:p>
          <w:p>
            <w:pPr>
              <w:spacing w:before="0" w:after="60" w:line="240" w:lineRule="auto"/>
              <w:jc w:val="center"/>
            </w:pPr>
            <w:r>
              <w:rPr>
                <w:rFonts w:ascii="Arial" w:hAnsi="Arial"/>
                <w:b/>
                <w:color w:val="1A1A1A"/>
                <w:sz w:val="22"/>
                <w:rFonts w:ascii="Arial" w:hAnsi="Arial" w:cs="Arial"/>
              </w:rPr>
              <w:t>(%98.90)</w:t>
            </w:r>
          </w:p>
        </w:tc>
      </w:tr>
    </w:tbl>
    <w:sectPr w:rsidR="00FC693F" w:rsidRPr="0006063C" w:rsidSect="00034616">
      <w:pgSz w:w="11909" w:h="16834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