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87AF2" w14:textId="477E5573" w:rsidR="00E2439D" w:rsidRPr="00E2439D" w:rsidRDefault="00E2439D" w:rsidP="00B259E3">
      <w:pPr>
        <w:jc w:val="center"/>
        <w:rPr>
          <w:rFonts w:ascii="Garamond" w:hAnsi="Garamond" w:cs="Arial"/>
          <w:b/>
          <w:bCs/>
          <w:sz w:val="22"/>
          <w:szCs w:val="22"/>
        </w:rPr>
      </w:pPr>
      <w:r w:rsidRPr="00AC2877">
        <w:rPr>
          <w:rFonts w:ascii="Garamond" w:hAnsi="Garamond"/>
          <w:b/>
          <w:bCs/>
          <w:sz w:val="22"/>
          <w:szCs w:val="22"/>
        </w:rPr>
        <w:t>SIMULATION COMMERCIAL BANK | QUANTITATIVE RISK MANAGEMENT</w:t>
      </w:r>
    </w:p>
    <w:p w14:paraId="70D192E4" w14:textId="77777777" w:rsidR="00E2439D" w:rsidRPr="00AC2877" w:rsidRDefault="00E2439D" w:rsidP="00B259E3">
      <w:pPr>
        <w:jc w:val="center"/>
        <w:rPr>
          <w:rFonts w:ascii="Garamond" w:hAnsi="Garamond"/>
          <w:b/>
          <w:bCs/>
          <w:sz w:val="22"/>
          <w:szCs w:val="22"/>
        </w:rPr>
      </w:pPr>
      <w:r w:rsidRPr="00AC2877">
        <w:rPr>
          <w:rFonts w:ascii="Garamond" w:hAnsi="Garamond"/>
          <w:b/>
          <w:bCs/>
          <w:sz w:val="22"/>
          <w:szCs w:val="22"/>
        </w:rPr>
        <w:t>FORMAL MODEL VALIDATION REPORT</w:t>
      </w:r>
    </w:p>
    <w:p w14:paraId="32FD3422" w14:textId="5F6EEA86" w:rsidR="00E2439D" w:rsidRPr="00AC2877" w:rsidRDefault="00B259E3" w:rsidP="00B259E3">
      <w:pPr>
        <w:jc w:val="center"/>
        <w:rPr>
          <w:rFonts w:ascii="Garamond" w:hAnsi="Garamond"/>
          <w:b/>
          <w:bCs/>
          <w:sz w:val="22"/>
          <w:szCs w:val="22"/>
        </w:rPr>
      </w:pPr>
      <w:r>
        <w:rPr>
          <w:rFonts w:ascii="Garamond" w:hAnsi="Garamond"/>
          <w:b/>
          <w:bCs/>
          <w:sz w:val="22"/>
          <w:szCs w:val="22"/>
        </w:rPr>
        <w:t>Commercial Real Estate (CRE) Probability of Default (PD) Model</w:t>
      </w:r>
    </w:p>
    <w:p w14:paraId="36C5C735" w14:textId="77777777" w:rsidR="00E2439D" w:rsidRPr="00AC2877" w:rsidRDefault="00E2439D" w:rsidP="00B259E3">
      <w:pPr>
        <w:jc w:val="center"/>
        <w:rPr>
          <w:rFonts w:ascii="Garamond" w:hAnsi="Garamond"/>
          <w:sz w:val="22"/>
          <w:szCs w:val="22"/>
        </w:rPr>
      </w:pPr>
      <w:r w:rsidRPr="00AC2877">
        <w:rPr>
          <w:rFonts w:ascii="Garamond" w:hAnsi="Garamond"/>
          <w:b/>
          <w:bCs/>
          <w:sz w:val="22"/>
          <w:szCs w:val="22"/>
        </w:rPr>
        <w:t>Compliance Framework:</w:t>
      </w:r>
      <w:r w:rsidRPr="00AC2877">
        <w:rPr>
          <w:rFonts w:ascii="Garamond" w:hAnsi="Garamond"/>
          <w:sz w:val="22"/>
          <w:szCs w:val="22"/>
        </w:rPr>
        <w:t xml:space="preserve"> Federal Reserve SR 11-7 (Model Risk Management)</w:t>
      </w:r>
    </w:p>
    <w:p w14:paraId="5C780156" w14:textId="4DCA5388" w:rsidR="00E2439D" w:rsidRPr="00AC2877" w:rsidRDefault="00E2439D" w:rsidP="00B259E3">
      <w:pPr>
        <w:jc w:val="center"/>
        <w:rPr>
          <w:rFonts w:ascii="Garamond" w:hAnsi="Garamond"/>
          <w:sz w:val="22"/>
          <w:szCs w:val="22"/>
        </w:rPr>
      </w:pPr>
      <w:r w:rsidRPr="00AC2877">
        <w:rPr>
          <w:rFonts w:ascii="Garamond" w:hAnsi="Garamond"/>
          <w:b/>
          <w:bCs/>
          <w:sz w:val="22"/>
          <w:szCs w:val="22"/>
        </w:rPr>
        <w:t>Model Risk Tier:</w:t>
      </w:r>
      <w:r w:rsidRPr="00AC2877">
        <w:rPr>
          <w:rFonts w:ascii="Garamond" w:hAnsi="Garamond"/>
          <w:sz w:val="22"/>
          <w:szCs w:val="22"/>
        </w:rPr>
        <w:t xml:space="preserve"> </w:t>
      </w:r>
      <w:r w:rsidR="00B259E3">
        <w:rPr>
          <w:rFonts w:ascii="Garamond" w:hAnsi="Garamond"/>
          <w:sz w:val="22"/>
          <w:szCs w:val="22"/>
        </w:rPr>
        <w:t>Medium</w:t>
      </w:r>
    </w:p>
    <w:p w14:paraId="02D82C38" w14:textId="77777777" w:rsidR="00E2439D" w:rsidRPr="00AC2877" w:rsidRDefault="00E2439D" w:rsidP="00B259E3">
      <w:pPr>
        <w:jc w:val="center"/>
        <w:rPr>
          <w:rFonts w:ascii="Garamond" w:hAnsi="Garamond"/>
          <w:sz w:val="22"/>
          <w:szCs w:val="22"/>
        </w:rPr>
      </w:pPr>
      <w:r w:rsidRPr="00AC2877">
        <w:rPr>
          <w:rFonts w:ascii="Garamond" w:hAnsi="Garamond"/>
          <w:b/>
          <w:bCs/>
          <w:sz w:val="22"/>
          <w:szCs w:val="22"/>
        </w:rPr>
        <w:t>Date of Validation:</w:t>
      </w:r>
      <w:r w:rsidRPr="00AC2877">
        <w:rPr>
          <w:rFonts w:ascii="Garamond" w:hAnsi="Garamond"/>
          <w:sz w:val="22"/>
          <w:szCs w:val="22"/>
        </w:rPr>
        <w:t xml:space="preserve"> July 2026</w:t>
      </w:r>
    </w:p>
    <w:p w14:paraId="3A250A01" w14:textId="77777777" w:rsidR="00E2439D" w:rsidRPr="00AC2877" w:rsidRDefault="00E2439D" w:rsidP="00B259E3">
      <w:pPr>
        <w:jc w:val="center"/>
        <w:rPr>
          <w:rFonts w:ascii="Garamond" w:hAnsi="Garamond"/>
          <w:sz w:val="22"/>
          <w:szCs w:val="22"/>
        </w:rPr>
      </w:pPr>
      <w:r w:rsidRPr="00AC2877">
        <w:rPr>
          <w:rFonts w:ascii="Garamond" w:hAnsi="Garamond"/>
          <w:b/>
          <w:bCs/>
          <w:sz w:val="22"/>
          <w:szCs w:val="22"/>
        </w:rPr>
        <w:t>Prepared By:</w:t>
      </w:r>
    </w:p>
    <w:p w14:paraId="39FDA1E8" w14:textId="77777777" w:rsidR="00E2439D" w:rsidRPr="00AC2877" w:rsidRDefault="00E2439D" w:rsidP="00B259E3">
      <w:pPr>
        <w:jc w:val="center"/>
        <w:rPr>
          <w:rFonts w:ascii="Garamond" w:hAnsi="Garamond"/>
          <w:sz w:val="22"/>
          <w:szCs w:val="22"/>
        </w:rPr>
      </w:pPr>
      <w:r w:rsidRPr="00AC2877">
        <w:rPr>
          <w:rFonts w:ascii="Garamond" w:hAnsi="Garamond"/>
          <w:sz w:val="22"/>
          <w:szCs w:val="22"/>
        </w:rPr>
        <w:t>Nicolas Lucero</w:t>
      </w:r>
    </w:p>
    <w:p w14:paraId="52390E15" w14:textId="77777777" w:rsidR="00E2439D" w:rsidRPr="00AC2877" w:rsidRDefault="00E2439D" w:rsidP="00B259E3">
      <w:pPr>
        <w:jc w:val="center"/>
        <w:rPr>
          <w:rFonts w:ascii="Garamond" w:hAnsi="Garamond"/>
          <w:sz w:val="22"/>
          <w:szCs w:val="22"/>
        </w:rPr>
      </w:pPr>
      <w:r w:rsidRPr="00AC2877">
        <w:rPr>
          <w:rFonts w:ascii="Garamond" w:hAnsi="Garamond"/>
          <w:sz w:val="22"/>
          <w:szCs w:val="22"/>
        </w:rPr>
        <w:t>Independent Quantitative Analyst</w:t>
      </w:r>
    </w:p>
    <w:p w14:paraId="71DE1C6F" w14:textId="1AD78209" w:rsidR="00E2439D" w:rsidRDefault="00E2439D" w:rsidP="00B259E3">
      <w:pPr>
        <w:jc w:val="center"/>
        <w:rPr>
          <w:rFonts w:ascii="Garamond" w:hAnsi="Garamond"/>
          <w:sz w:val="22"/>
          <w:szCs w:val="22"/>
        </w:rPr>
      </w:pPr>
    </w:p>
    <w:p w14:paraId="54C89208" w14:textId="77777777" w:rsidR="00144D16" w:rsidRPr="00AC2877" w:rsidRDefault="00144D16" w:rsidP="00B259E3">
      <w:pPr>
        <w:jc w:val="center"/>
        <w:rPr>
          <w:rFonts w:ascii="Garamond" w:hAnsi="Garamond"/>
          <w:sz w:val="22"/>
          <w:szCs w:val="22"/>
        </w:rPr>
      </w:pPr>
    </w:p>
    <w:p w14:paraId="3FDC8928" w14:textId="77777777" w:rsidR="00E2439D" w:rsidRDefault="00E2439D" w:rsidP="00B259E3">
      <w:pPr>
        <w:jc w:val="center"/>
        <w:rPr>
          <w:rFonts w:ascii="Garamond" w:hAnsi="Garamond" w:cs="Arial"/>
          <w:b/>
          <w:bCs/>
          <w:sz w:val="22"/>
          <w:szCs w:val="22"/>
        </w:rPr>
      </w:pPr>
    </w:p>
    <w:p w14:paraId="661FBBE9" w14:textId="77777777" w:rsidR="00E2439D" w:rsidRDefault="00E2439D" w:rsidP="00C502FD">
      <w:pPr>
        <w:jc w:val="center"/>
        <w:rPr>
          <w:rFonts w:ascii="Garamond" w:hAnsi="Garamond" w:cs="Arial"/>
          <w:b/>
          <w:bCs/>
          <w:sz w:val="22"/>
          <w:szCs w:val="22"/>
        </w:rPr>
      </w:pPr>
    </w:p>
    <w:p w14:paraId="2FC56DF3" w14:textId="77777777" w:rsidR="00716CE9" w:rsidRDefault="00716CE9" w:rsidP="00C502FD">
      <w:pPr>
        <w:jc w:val="center"/>
        <w:rPr>
          <w:rFonts w:ascii="Garamond" w:hAnsi="Garamond" w:cs="Arial"/>
          <w:b/>
          <w:bCs/>
          <w:sz w:val="22"/>
          <w:szCs w:val="22"/>
        </w:rPr>
      </w:pPr>
    </w:p>
    <w:p w14:paraId="5E09ED6E" w14:textId="77777777" w:rsidR="00716CE9" w:rsidRDefault="00716CE9" w:rsidP="00C502FD">
      <w:pPr>
        <w:jc w:val="center"/>
        <w:rPr>
          <w:rFonts w:ascii="Garamond" w:hAnsi="Garamond" w:cs="Arial"/>
          <w:b/>
          <w:bCs/>
          <w:sz w:val="22"/>
          <w:szCs w:val="22"/>
        </w:rPr>
      </w:pPr>
    </w:p>
    <w:p w14:paraId="4C945BE0" w14:textId="77777777" w:rsidR="00716CE9" w:rsidRDefault="00716CE9" w:rsidP="00C502FD">
      <w:pPr>
        <w:jc w:val="center"/>
        <w:rPr>
          <w:rFonts w:ascii="Garamond" w:hAnsi="Garamond" w:cs="Arial"/>
          <w:b/>
          <w:bCs/>
          <w:sz w:val="22"/>
          <w:szCs w:val="22"/>
        </w:rPr>
      </w:pPr>
    </w:p>
    <w:p w14:paraId="6E0AE44B" w14:textId="77777777" w:rsidR="00716CE9" w:rsidRDefault="00716CE9" w:rsidP="00C502FD">
      <w:pPr>
        <w:jc w:val="center"/>
        <w:rPr>
          <w:rFonts w:ascii="Garamond" w:hAnsi="Garamond" w:cs="Arial"/>
          <w:b/>
          <w:bCs/>
          <w:sz w:val="22"/>
          <w:szCs w:val="22"/>
        </w:rPr>
      </w:pPr>
    </w:p>
    <w:p w14:paraId="169694A7" w14:textId="77777777" w:rsidR="00716CE9" w:rsidRDefault="00716CE9" w:rsidP="00C502FD">
      <w:pPr>
        <w:jc w:val="center"/>
        <w:rPr>
          <w:rFonts w:ascii="Garamond" w:hAnsi="Garamond" w:cs="Arial"/>
          <w:b/>
          <w:bCs/>
          <w:sz w:val="22"/>
          <w:szCs w:val="22"/>
        </w:rPr>
      </w:pPr>
    </w:p>
    <w:p w14:paraId="64208BC7" w14:textId="77777777" w:rsidR="00716CE9" w:rsidRDefault="00716CE9" w:rsidP="00C502FD">
      <w:pPr>
        <w:jc w:val="center"/>
        <w:rPr>
          <w:rFonts w:ascii="Garamond" w:hAnsi="Garamond" w:cs="Arial"/>
          <w:b/>
          <w:bCs/>
          <w:sz w:val="22"/>
          <w:szCs w:val="22"/>
        </w:rPr>
      </w:pPr>
    </w:p>
    <w:p w14:paraId="29579CBD" w14:textId="77777777" w:rsidR="00716CE9" w:rsidRDefault="00716CE9" w:rsidP="00C502FD">
      <w:pPr>
        <w:jc w:val="center"/>
        <w:rPr>
          <w:rFonts w:ascii="Garamond" w:hAnsi="Garamond" w:cs="Arial"/>
          <w:b/>
          <w:bCs/>
          <w:sz w:val="22"/>
          <w:szCs w:val="22"/>
        </w:rPr>
      </w:pPr>
    </w:p>
    <w:p w14:paraId="49876748" w14:textId="77777777" w:rsidR="00716CE9" w:rsidRDefault="00716CE9" w:rsidP="00716CE9">
      <w:pPr>
        <w:jc w:val="center"/>
        <w:rPr>
          <w:rFonts w:ascii="Garamond" w:hAnsi="Garamond"/>
          <w:b/>
          <w:bCs/>
          <w:sz w:val="22"/>
          <w:szCs w:val="22"/>
        </w:rPr>
      </w:pPr>
    </w:p>
    <w:p w14:paraId="1C536688" w14:textId="77777777" w:rsidR="00716CE9" w:rsidRDefault="00716CE9" w:rsidP="00716CE9">
      <w:pPr>
        <w:jc w:val="center"/>
        <w:rPr>
          <w:rFonts w:ascii="Garamond" w:hAnsi="Garamond"/>
          <w:b/>
          <w:bCs/>
          <w:sz w:val="22"/>
          <w:szCs w:val="22"/>
        </w:rPr>
      </w:pPr>
    </w:p>
    <w:p w14:paraId="4872AF98" w14:textId="77777777" w:rsidR="00716CE9" w:rsidRDefault="00716CE9" w:rsidP="00716CE9">
      <w:pPr>
        <w:jc w:val="center"/>
        <w:rPr>
          <w:rFonts w:ascii="Garamond" w:hAnsi="Garamond"/>
          <w:b/>
          <w:bCs/>
          <w:sz w:val="22"/>
          <w:szCs w:val="22"/>
        </w:rPr>
      </w:pPr>
    </w:p>
    <w:p w14:paraId="5E1F60E3" w14:textId="77777777" w:rsidR="00716CE9" w:rsidRDefault="00716CE9" w:rsidP="00716CE9">
      <w:pPr>
        <w:jc w:val="center"/>
        <w:rPr>
          <w:rFonts w:ascii="Garamond" w:hAnsi="Garamond"/>
          <w:b/>
          <w:bCs/>
          <w:sz w:val="22"/>
          <w:szCs w:val="22"/>
        </w:rPr>
      </w:pPr>
    </w:p>
    <w:p w14:paraId="6A920361" w14:textId="7F61B367" w:rsidR="00716CE9" w:rsidRPr="00AC2877" w:rsidRDefault="00716CE9" w:rsidP="00C27D02">
      <w:pPr>
        <w:jc w:val="center"/>
        <w:rPr>
          <w:rFonts w:ascii="Garamond" w:hAnsi="Garamond"/>
          <w:sz w:val="22"/>
          <w:szCs w:val="22"/>
        </w:rPr>
      </w:pPr>
      <w:r w:rsidRPr="00AC2877">
        <w:rPr>
          <w:rFonts w:ascii="Garamond" w:hAnsi="Garamond"/>
          <w:b/>
          <w:bCs/>
          <w:sz w:val="22"/>
          <w:szCs w:val="22"/>
        </w:rPr>
        <w:t>Document Control &amp; Version History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50"/>
        <w:gridCol w:w="1211"/>
        <w:gridCol w:w="1722"/>
        <w:gridCol w:w="4056"/>
      </w:tblGrid>
      <w:tr w:rsidR="00716CE9" w:rsidRPr="00AC2877" w14:paraId="408B6C5D" w14:textId="77777777" w:rsidTr="00C63700">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8925A" w14:textId="77777777" w:rsidR="00716CE9" w:rsidRPr="00AC2877" w:rsidRDefault="00716CE9" w:rsidP="00C63700">
            <w:pPr>
              <w:jc w:val="center"/>
              <w:rPr>
                <w:rFonts w:ascii="Garamond" w:hAnsi="Garamond"/>
                <w:sz w:val="22"/>
                <w:szCs w:val="22"/>
              </w:rPr>
            </w:pPr>
            <w:r w:rsidRPr="00AC2877">
              <w:rPr>
                <w:rFonts w:ascii="Garamond" w:hAnsi="Garamond"/>
                <w:b/>
                <w:bCs/>
                <w:sz w:val="22"/>
                <w:szCs w:val="22"/>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37909" w14:textId="77777777" w:rsidR="00716CE9" w:rsidRPr="00AC2877" w:rsidRDefault="00716CE9" w:rsidP="00C63700">
            <w:pPr>
              <w:jc w:val="center"/>
              <w:rPr>
                <w:rFonts w:ascii="Garamond" w:hAnsi="Garamond"/>
                <w:sz w:val="22"/>
                <w:szCs w:val="22"/>
              </w:rPr>
            </w:pPr>
            <w:r w:rsidRPr="00AC2877">
              <w:rPr>
                <w:rFonts w:ascii="Garamond" w:hAnsi="Garamond"/>
                <w:b/>
                <w:bCs/>
                <w:sz w:val="22"/>
                <w:szCs w:val="22"/>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72F4D" w14:textId="77777777" w:rsidR="00716CE9" w:rsidRPr="00AC2877" w:rsidRDefault="00716CE9" w:rsidP="00C63700">
            <w:pPr>
              <w:jc w:val="center"/>
              <w:rPr>
                <w:rFonts w:ascii="Garamond" w:hAnsi="Garamond"/>
                <w:sz w:val="22"/>
                <w:szCs w:val="22"/>
              </w:rPr>
            </w:pPr>
            <w:r w:rsidRPr="00AC2877">
              <w:rPr>
                <w:rFonts w:ascii="Garamond" w:hAnsi="Garamond"/>
                <w:b/>
                <w:bCs/>
                <w:sz w:val="22"/>
                <w:szCs w:val="22"/>
              </w:rPr>
              <w:t>Author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E7F6E" w14:textId="77777777" w:rsidR="00716CE9" w:rsidRPr="00AC2877" w:rsidRDefault="00716CE9" w:rsidP="00C63700">
            <w:pPr>
              <w:jc w:val="center"/>
              <w:rPr>
                <w:rFonts w:ascii="Garamond" w:hAnsi="Garamond"/>
                <w:sz w:val="22"/>
                <w:szCs w:val="22"/>
              </w:rPr>
            </w:pPr>
            <w:r w:rsidRPr="00AC2877">
              <w:rPr>
                <w:rFonts w:ascii="Garamond" w:hAnsi="Garamond"/>
                <w:b/>
                <w:bCs/>
                <w:sz w:val="22"/>
                <w:szCs w:val="22"/>
              </w:rPr>
              <w:t>Description of Changes</w:t>
            </w:r>
          </w:p>
        </w:tc>
      </w:tr>
      <w:tr w:rsidR="00716CE9" w:rsidRPr="00AC2877" w14:paraId="4137F452" w14:textId="77777777" w:rsidTr="00C63700">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8F79D" w14:textId="77777777" w:rsidR="00716CE9" w:rsidRPr="00AC2877" w:rsidRDefault="00716CE9" w:rsidP="00C63700">
            <w:pPr>
              <w:jc w:val="center"/>
              <w:rPr>
                <w:rFonts w:ascii="Garamond" w:hAnsi="Garamond"/>
                <w:sz w:val="22"/>
                <w:szCs w:val="22"/>
              </w:rPr>
            </w:pPr>
            <w:r w:rsidRPr="00AC2877">
              <w:rPr>
                <w:rFonts w:ascii="Garamond" w:hAnsi="Garamond"/>
                <w:sz w:val="22"/>
                <w:szCs w:val="22"/>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014FC" w14:textId="77777777" w:rsidR="00716CE9" w:rsidRPr="00AC2877" w:rsidRDefault="00716CE9" w:rsidP="00C63700">
            <w:pPr>
              <w:jc w:val="center"/>
              <w:rPr>
                <w:rFonts w:ascii="Garamond" w:hAnsi="Garamond"/>
                <w:sz w:val="22"/>
                <w:szCs w:val="22"/>
              </w:rPr>
            </w:pPr>
            <w:r w:rsidRPr="00AC2877">
              <w:rPr>
                <w:rFonts w:ascii="Garamond" w:hAnsi="Garamond"/>
                <w:sz w:val="22"/>
                <w:szCs w:val="22"/>
              </w:rPr>
              <w:t>July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1BDF3" w14:textId="77777777" w:rsidR="00716CE9" w:rsidRPr="00AC2877" w:rsidRDefault="00716CE9" w:rsidP="00C63700">
            <w:pPr>
              <w:jc w:val="center"/>
              <w:rPr>
                <w:rFonts w:ascii="Garamond" w:hAnsi="Garamond"/>
                <w:sz w:val="22"/>
                <w:szCs w:val="22"/>
              </w:rPr>
            </w:pPr>
            <w:r w:rsidRPr="00AC2877">
              <w:rPr>
                <w:rFonts w:ascii="Garamond" w:hAnsi="Garamond"/>
                <w:sz w:val="22"/>
                <w:szCs w:val="22"/>
              </w:rPr>
              <w:t>Nicolas Lucero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0C1CE" w14:textId="77777777" w:rsidR="00716CE9" w:rsidRPr="00AC2877" w:rsidRDefault="00716CE9" w:rsidP="00C63700">
            <w:pPr>
              <w:jc w:val="center"/>
              <w:rPr>
                <w:rFonts w:ascii="Garamond" w:hAnsi="Garamond"/>
                <w:sz w:val="22"/>
                <w:szCs w:val="22"/>
              </w:rPr>
            </w:pPr>
            <w:r w:rsidRPr="00AC2877">
              <w:rPr>
                <w:rFonts w:ascii="Garamond" w:hAnsi="Garamond"/>
                <w:sz w:val="22"/>
                <w:szCs w:val="22"/>
              </w:rPr>
              <w:t>Initial Validation under SR 11-7 standards.</w:t>
            </w:r>
          </w:p>
        </w:tc>
      </w:tr>
    </w:tbl>
    <w:p w14:paraId="5334D6A0" w14:textId="77777777" w:rsidR="005115B2" w:rsidRDefault="005115B2" w:rsidP="005115B2">
      <w:pPr>
        <w:rPr>
          <w:rFonts w:ascii="Garamond" w:hAnsi="Garamond" w:cs="Arial"/>
          <w:b/>
          <w:bCs/>
          <w:sz w:val="22"/>
          <w:szCs w:val="22"/>
        </w:rPr>
      </w:pPr>
    </w:p>
    <w:p w14:paraId="1BFB5D67" w14:textId="47FD15A9" w:rsidR="000F3DC0" w:rsidRPr="00C502FD" w:rsidRDefault="000F3DC0" w:rsidP="005115B2">
      <w:pPr>
        <w:jc w:val="center"/>
        <w:rPr>
          <w:rFonts w:ascii="Garamond" w:hAnsi="Garamond" w:cs="Arial"/>
          <w:b/>
          <w:bCs/>
          <w:sz w:val="22"/>
          <w:szCs w:val="22"/>
        </w:rPr>
      </w:pPr>
      <w:r w:rsidRPr="00C502FD">
        <w:rPr>
          <w:rFonts w:ascii="Garamond" w:hAnsi="Garamond" w:cs="Arial"/>
          <w:b/>
          <w:bCs/>
          <w:sz w:val="22"/>
          <w:szCs w:val="22"/>
        </w:rPr>
        <w:lastRenderedPageBreak/>
        <w:t>MODEL VALIDATION REPORT: CRE Probability of Default (PD)</w:t>
      </w:r>
    </w:p>
    <w:p w14:paraId="153AFE08" w14:textId="77777777" w:rsidR="000F3DC0" w:rsidRPr="00C502FD" w:rsidRDefault="000F3DC0" w:rsidP="00C502FD">
      <w:pPr>
        <w:jc w:val="center"/>
        <w:rPr>
          <w:rFonts w:ascii="Garamond" w:hAnsi="Garamond" w:cs="Arial"/>
          <w:sz w:val="22"/>
          <w:szCs w:val="22"/>
        </w:rPr>
      </w:pPr>
      <w:r w:rsidRPr="00C502FD">
        <w:rPr>
          <w:rFonts w:ascii="Garamond" w:hAnsi="Garamond" w:cs="Arial"/>
          <w:b/>
          <w:bCs/>
          <w:sz w:val="22"/>
          <w:szCs w:val="22"/>
        </w:rPr>
        <w:t>Date of Review:</w:t>
      </w:r>
      <w:r w:rsidRPr="00C502FD">
        <w:rPr>
          <w:rFonts w:ascii="Garamond" w:hAnsi="Garamond" w:cs="Arial"/>
          <w:sz w:val="22"/>
          <w:szCs w:val="22"/>
        </w:rPr>
        <w:t xml:space="preserve"> July 2026</w:t>
      </w:r>
    </w:p>
    <w:p w14:paraId="13303035" w14:textId="77777777" w:rsidR="000F3DC0" w:rsidRPr="00C502FD" w:rsidRDefault="000F3DC0" w:rsidP="00C502FD">
      <w:pPr>
        <w:jc w:val="center"/>
        <w:rPr>
          <w:rFonts w:ascii="Garamond" w:hAnsi="Garamond" w:cs="Arial"/>
          <w:sz w:val="22"/>
          <w:szCs w:val="22"/>
        </w:rPr>
      </w:pPr>
      <w:r w:rsidRPr="00C502FD">
        <w:rPr>
          <w:rFonts w:ascii="Garamond" w:hAnsi="Garamond" w:cs="Arial"/>
          <w:b/>
          <w:bCs/>
          <w:sz w:val="22"/>
          <w:szCs w:val="22"/>
        </w:rPr>
        <w:t>Model Owner:</w:t>
      </w:r>
      <w:r w:rsidRPr="00C502FD">
        <w:rPr>
          <w:rFonts w:ascii="Garamond" w:hAnsi="Garamond" w:cs="Arial"/>
          <w:sz w:val="22"/>
          <w:szCs w:val="22"/>
        </w:rPr>
        <w:t xml:space="preserve"> Quantitative Risk Management</w:t>
      </w:r>
    </w:p>
    <w:p w14:paraId="3AB616AE" w14:textId="3FA38E34" w:rsidR="00C502FD" w:rsidRDefault="000F3DC0" w:rsidP="00C502FD">
      <w:pPr>
        <w:jc w:val="center"/>
        <w:rPr>
          <w:rFonts w:ascii="Garamond" w:hAnsi="Garamond" w:cs="Arial"/>
          <w:sz w:val="22"/>
          <w:szCs w:val="22"/>
        </w:rPr>
      </w:pPr>
      <w:r w:rsidRPr="00C502FD">
        <w:rPr>
          <w:rFonts w:ascii="Garamond" w:hAnsi="Garamond" w:cs="Arial"/>
          <w:b/>
          <w:bCs/>
          <w:sz w:val="22"/>
          <w:szCs w:val="22"/>
        </w:rPr>
        <w:t>Validator:</w:t>
      </w:r>
      <w:r w:rsidRPr="00C502FD">
        <w:rPr>
          <w:rFonts w:ascii="Garamond" w:hAnsi="Garamond" w:cs="Arial"/>
          <w:sz w:val="22"/>
          <w:szCs w:val="22"/>
        </w:rPr>
        <w:t xml:space="preserve"> Nicolas Lucero, Independent Quantitative Analyst</w:t>
      </w:r>
    </w:p>
    <w:p w14:paraId="2FEA03E1" w14:textId="17DCE40C" w:rsidR="000F3DC0" w:rsidRPr="00E2439D" w:rsidRDefault="00C502FD" w:rsidP="00E2439D">
      <w:pPr>
        <w:rPr>
          <w:rFonts w:ascii="Garamond" w:hAnsi="Garamond" w:cs="Arial"/>
          <w:sz w:val="22"/>
          <w:szCs w:val="22"/>
        </w:rPr>
      </w:pPr>
      <w:r>
        <w:rPr>
          <w:rFonts w:ascii="Garamond" w:hAnsi="Garamond" w:cs="Arial"/>
          <w:sz w:val="22"/>
          <w:szCs w:val="22"/>
        </w:rPr>
        <w:br w:type="page"/>
      </w:r>
    </w:p>
    <w:p w14:paraId="7690D83D" w14:textId="77777777" w:rsidR="000F3DC0" w:rsidRPr="00C502FD" w:rsidRDefault="000F3DC0" w:rsidP="00C502FD">
      <w:pPr>
        <w:jc w:val="center"/>
        <w:rPr>
          <w:rFonts w:ascii="Garamond" w:hAnsi="Garamond" w:cs="Arial"/>
          <w:b/>
          <w:bCs/>
          <w:sz w:val="22"/>
          <w:szCs w:val="22"/>
          <w:u w:val="single"/>
        </w:rPr>
      </w:pPr>
      <w:r w:rsidRPr="00C502FD">
        <w:rPr>
          <w:rFonts w:ascii="Garamond" w:hAnsi="Garamond" w:cs="Arial"/>
          <w:b/>
          <w:bCs/>
          <w:sz w:val="22"/>
          <w:szCs w:val="22"/>
          <w:u w:val="single"/>
        </w:rPr>
        <w:lastRenderedPageBreak/>
        <w:t>1. Executive Summary</w:t>
      </w:r>
    </w:p>
    <w:p w14:paraId="2DC4A3DB" w14:textId="77777777" w:rsidR="000F3DC0" w:rsidRPr="00C502FD" w:rsidRDefault="000F3DC0" w:rsidP="00C502FD">
      <w:pPr>
        <w:numPr>
          <w:ilvl w:val="0"/>
          <w:numId w:val="1"/>
        </w:numPr>
        <w:jc w:val="center"/>
        <w:rPr>
          <w:rFonts w:ascii="Garamond" w:hAnsi="Garamond" w:cs="Arial"/>
          <w:sz w:val="22"/>
          <w:szCs w:val="22"/>
        </w:rPr>
      </w:pPr>
      <w:r w:rsidRPr="00C502FD">
        <w:rPr>
          <w:rFonts w:ascii="Garamond" w:hAnsi="Garamond" w:cs="Arial"/>
          <w:b/>
          <w:bCs/>
          <w:sz w:val="22"/>
          <w:szCs w:val="22"/>
        </w:rPr>
        <w:t>Model Name:</w:t>
      </w:r>
      <w:r w:rsidRPr="00C502FD">
        <w:rPr>
          <w:rFonts w:ascii="Garamond" w:hAnsi="Garamond" w:cs="Arial"/>
          <w:sz w:val="22"/>
          <w:szCs w:val="22"/>
        </w:rPr>
        <w:t xml:space="preserve"> Commercial Real Estate (CRE) 12-Month Probability of Default (PD) Model</w:t>
      </w:r>
    </w:p>
    <w:p w14:paraId="6BCEE099" w14:textId="77777777" w:rsidR="000F3DC0" w:rsidRPr="00C502FD" w:rsidRDefault="000F3DC0" w:rsidP="00C502FD">
      <w:pPr>
        <w:numPr>
          <w:ilvl w:val="0"/>
          <w:numId w:val="1"/>
        </w:numPr>
        <w:jc w:val="center"/>
        <w:rPr>
          <w:rFonts w:ascii="Garamond" w:hAnsi="Garamond" w:cs="Arial"/>
          <w:sz w:val="22"/>
          <w:szCs w:val="22"/>
        </w:rPr>
      </w:pPr>
      <w:r w:rsidRPr="00C502FD">
        <w:rPr>
          <w:rFonts w:ascii="Garamond" w:hAnsi="Garamond" w:cs="Arial"/>
          <w:b/>
          <w:bCs/>
          <w:sz w:val="22"/>
          <w:szCs w:val="22"/>
        </w:rPr>
        <w:t>Validation Conclusion:</w:t>
      </w:r>
      <w:r w:rsidRPr="00C502FD">
        <w:rPr>
          <w:rFonts w:ascii="Garamond" w:hAnsi="Garamond" w:cs="Arial"/>
          <w:sz w:val="22"/>
          <w:szCs w:val="22"/>
        </w:rPr>
        <w:t xml:space="preserve"> </w:t>
      </w:r>
      <w:r w:rsidRPr="00C502FD">
        <w:rPr>
          <w:rFonts w:ascii="Garamond" w:hAnsi="Garamond" w:cs="Arial"/>
          <w:b/>
          <w:bCs/>
          <w:sz w:val="22"/>
          <w:szCs w:val="22"/>
        </w:rPr>
        <w:t>Approved with Conditions</w:t>
      </w:r>
    </w:p>
    <w:p w14:paraId="7A8B37D4" w14:textId="77777777" w:rsidR="000F3DC0" w:rsidRPr="00C502FD" w:rsidRDefault="000F3DC0" w:rsidP="00C502FD">
      <w:pPr>
        <w:numPr>
          <w:ilvl w:val="0"/>
          <w:numId w:val="1"/>
        </w:numPr>
        <w:jc w:val="center"/>
        <w:rPr>
          <w:rFonts w:ascii="Garamond" w:hAnsi="Garamond" w:cs="Arial"/>
          <w:sz w:val="22"/>
          <w:szCs w:val="22"/>
        </w:rPr>
      </w:pPr>
      <w:r w:rsidRPr="00C502FD">
        <w:rPr>
          <w:rFonts w:ascii="Garamond" w:hAnsi="Garamond" w:cs="Arial"/>
          <w:b/>
          <w:bCs/>
          <w:sz w:val="22"/>
          <w:szCs w:val="22"/>
        </w:rPr>
        <w:t>Overall Risk Rating:</w:t>
      </w:r>
      <w:r w:rsidRPr="00C502FD">
        <w:rPr>
          <w:rFonts w:ascii="Garamond" w:hAnsi="Garamond" w:cs="Arial"/>
          <w:sz w:val="22"/>
          <w:szCs w:val="22"/>
        </w:rPr>
        <w:t xml:space="preserve"> Medium</w:t>
      </w:r>
    </w:p>
    <w:p w14:paraId="11A5FA30" w14:textId="77777777" w:rsidR="0094381B" w:rsidRDefault="0094381B" w:rsidP="00C502FD">
      <w:pPr>
        <w:jc w:val="center"/>
        <w:rPr>
          <w:rFonts w:ascii="Garamond" w:hAnsi="Garamond" w:cs="Arial"/>
          <w:b/>
          <w:bCs/>
          <w:sz w:val="22"/>
          <w:szCs w:val="22"/>
        </w:rPr>
      </w:pPr>
    </w:p>
    <w:p w14:paraId="49E9AFBC" w14:textId="1B3D16F2" w:rsidR="000F3DC0" w:rsidRPr="00C502FD" w:rsidRDefault="000F3DC0" w:rsidP="00C502FD">
      <w:pPr>
        <w:jc w:val="center"/>
        <w:rPr>
          <w:rFonts w:ascii="Garamond" w:hAnsi="Garamond" w:cs="Arial"/>
          <w:sz w:val="22"/>
          <w:szCs w:val="22"/>
        </w:rPr>
      </w:pPr>
      <w:r w:rsidRPr="00C502FD">
        <w:rPr>
          <w:rFonts w:ascii="Garamond" w:hAnsi="Garamond" w:cs="Arial"/>
          <w:b/>
          <w:bCs/>
          <w:sz w:val="22"/>
          <w:szCs w:val="22"/>
        </w:rPr>
        <w:t>Validation Abstract</w:t>
      </w:r>
    </w:p>
    <w:p w14:paraId="2507928B"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An independent validation was conducted on the CRE PD Model in accordance with Federal Reserve SR 11-7 guidelines. The model demonstrates acceptable in-sample fit and out-of-sample rank-ordering capability for baseline credit monitoring. However, the validation identified significant non-linear tail risk under macroeconomic stress. While the baseline probability of default increases linearly with unemployment, simultaneous shocks to asset valuations (LTV) cause a compounding deterioration in Loss Given Default (LGD), resulting in a 5x increase in Expected Loss (EL).</w:t>
      </w:r>
    </w:p>
    <w:p w14:paraId="2E8DB0C5" w14:textId="2A639391" w:rsidR="000F3DC0" w:rsidRPr="00C502FD" w:rsidRDefault="000F3DC0" w:rsidP="00C502FD">
      <w:pPr>
        <w:jc w:val="center"/>
        <w:rPr>
          <w:rFonts w:ascii="Garamond" w:hAnsi="Garamond" w:cs="Arial"/>
          <w:sz w:val="22"/>
          <w:szCs w:val="22"/>
        </w:rPr>
      </w:pPr>
      <w:r w:rsidRPr="00C502FD">
        <w:rPr>
          <w:rFonts w:ascii="Garamond" w:hAnsi="Garamond" w:cs="Arial"/>
          <w:b/>
          <w:bCs/>
          <w:sz w:val="22"/>
          <w:szCs w:val="22"/>
        </w:rPr>
        <w:t>Key Findings &amp; Conditions for Approval</w:t>
      </w:r>
    </w:p>
    <w:p w14:paraId="0CC339FB" w14:textId="77777777" w:rsidR="000F3DC0" w:rsidRPr="00C502FD" w:rsidRDefault="000F3DC0" w:rsidP="000F3DC0">
      <w:pPr>
        <w:numPr>
          <w:ilvl w:val="0"/>
          <w:numId w:val="2"/>
        </w:numPr>
        <w:rPr>
          <w:rFonts w:ascii="Garamond" w:hAnsi="Garamond" w:cs="Arial"/>
          <w:sz w:val="22"/>
          <w:szCs w:val="22"/>
        </w:rPr>
      </w:pPr>
      <w:r w:rsidRPr="00C502FD">
        <w:rPr>
          <w:rFonts w:ascii="Garamond" w:hAnsi="Garamond" w:cs="Arial"/>
          <w:b/>
          <w:bCs/>
          <w:sz w:val="22"/>
          <w:szCs w:val="22"/>
        </w:rPr>
        <w:t>Condition 1 (Boundary Guardrails):</w:t>
      </w:r>
      <w:r w:rsidRPr="00C502FD">
        <w:rPr>
          <w:rFonts w:ascii="Garamond" w:hAnsi="Garamond" w:cs="Arial"/>
          <w:sz w:val="22"/>
          <w:szCs w:val="22"/>
        </w:rPr>
        <w:t xml:space="preserve"> The model violates the linearity of log-odds assumption when Loan-to-Value (LTV) exceeds 90%. Manual underwriting overrides must be triggered for any origination exceeding this threshold.</w:t>
      </w:r>
    </w:p>
    <w:p w14:paraId="3893FF71" w14:textId="77777777" w:rsidR="000F3DC0" w:rsidRPr="00C502FD" w:rsidRDefault="000F3DC0" w:rsidP="000F3DC0">
      <w:pPr>
        <w:numPr>
          <w:ilvl w:val="0"/>
          <w:numId w:val="2"/>
        </w:numPr>
        <w:rPr>
          <w:rFonts w:ascii="Garamond" w:hAnsi="Garamond" w:cs="Arial"/>
          <w:sz w:val="22"/>
          <w:szCs w:val="22"/>
        </w:rPr>
      </w:pPr>
      <w:r w:rsidRPr="00C502FD">
        <w:rPr>
          <w:rFonts w:ascii="Garamond" w:hAnsi="Garamond" w:cs="Arial"/>
          <w:b/>
          <w:bCs/>
          <w:sz w:val="22"/>
          <w:szCs w:val="22"/>
        </w:rPr>
        <w:t>Condition 2 (Data Integrity):</w:t>
      </w:r>
      <w:r w:rsidRPr="00C502FD">
        <w:rPr>
          <w:rFonts w:ascii="Garamond" w:hAnsi="Garamond" w:cs="Arial"/>
          <w:sz w:val="22"/>
          <w:szCs w:val="22"/>
        </w:rPr>
        <w:t xml:space="preserve"> The validation uncovered pipeline vulnerabilities accepting negative Debt Service Coverage Ratios (DSCR). Hard-coded assertions must be implemented in the ETL pipeline before the next production run.</w:t>
      </w:r>
    </w:p>
    <w:p w14:paraId="20BB60CD" w14:textId="77777777" w:rsidR="000F3DC0" w:rsidRPr="00C502FD" w:rsidRDefault="000F3DC0" w:rsidP="00C502FD">
      <w:pPr>
        <w:jc w:val="center"/>
        <w:rPr>
          <w:rFonts w:ascii="Garamond" w:hAnsi="Garamond" w:cs="Arial"/>
          <w:b/>
          <w:bCs/>
          <w:sz w:val="22"/>
          <w:szCs w:val="22"/>
          <w:u w:val="single"/>
        </w:rPr>
      </w:pPr>
      <w:r w:rsidRPr="00C502FD">
        <w:rPr>
          <w:rFonts w:ascii="Garamond" w:hAnsi="Garamond" w:cs="Arial"/>
          <w:b/>
          <w:bCs/>
          <w:sz w:val="22"/>
          <w:szCs w:val="22"/>
          <w:u w:val="single"/>
        </w:rPr>
        <w:t>2. Model Purpose &amp; Use Scope</w:t>
      </w:r>
    </w:p>
    <w:p w14:paraId="4F7D6EA4"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The model is a statistical classification tool designed to estimate the 12-month forward-looking Probability of Default (PD) for a portfolio of commercial real estate loans.</w:t>
      </w:r>
    </w:p>
    <w:p w14:paraId="1A0A5F13" w14:textId="77777777" w:rsidR="000F3DC0" w:rsidRPr="00C502FD" w:rsidRDefault="000F3DC0" w:rsidP="000F3DC0">
      <w:pPr>
        <w:numPr>
          <w:ilvl w:val="0"/>
          <w:numId w:val="3"/>
        </w:numPr>
        <w:rPr>
          <w:rFonts w:ascii="Garamond" w:hAnsi="Garamond" w:cs="Arial"/>
          <w:sz w:val="22"/>
          <w:szCs w:val="22"/>
        </w:rPr>
      </w:pPr>
      <w:r w:rsidRPr="00C502FD">
        <w:rPr>
          <w:rFonts w:ascii="Garamond" w:hAnsi="Garamond" w:cs="Arial"/>
          <w:b/>
          <w:bCs/>
          <w:sz w:val="22"/>
          <w:szCs w:val="22"/>
        </w:rPr>
        <w:t>Approved Use:</w:t>
      </w:r>
      <w:r w:rsidRPr="00C502FD">
        <w:rPr>
          <w:rFonts w:ascii="Garamond" w:hAnsi="Garamond" w:cs="Arial"/>
          <w:sz w:val="22"/>
          <w:szCs w:val="22"/>
        </w:rPr>
        <w:t xml:space="preserve"> To calculate baseline capital requirements, rank-order portfolio risk, and conduct CCAR/DFAST macroeconomic stress testing.</w:t>
      </w:r>
    </w:p>
    <w:p w14:paraId="1AEE190C" w14:textId="77777777" w:rsidR="000F3DC0" w:rsidRPr="00C502FD" w:rsidRDefault="000F3DC0" w:rsidP="000F3DC0">
      <w:pPr>
        <w:numPr>
          <w:ilvl w:val="0"/>
          <w:numId w:val="3"/>
        </w:numPr>
        <w:rPr>
          <w:rFonts w:ascii="Garamond" w:hAnsi="Garamond" w:cs="Arial"/>
          <w:sz w:val="22"/>
          <w:szCs w:val="22"/>
        </w:rPr>
      </w:pPr>
      <w:r w:rsidRPr="00C502FD">
        <w:rPr>
          <w:rFonts w:ascii="Garamond" w:hAnsi="Garamond" w:cs="Arial"/>
          <w:b/>
          <w:bCs/>
          <w:sz w:val="22"/>
          <w:szCs w:val="22"/>
        </w:rPr>
        <w:t>Prohibited Use:</w:t>
      </w:r>
      <w:r w:rsidRPr="00C502FD">
        <w:rPr>
          <w:rFonts w:ascii="Garamond" w:hAnsi="Garamond" w:cs="Arial"/>
          <w:sz w:val="22"/>
          <w:szCs w:val="22"/>
        </w:rPr>
        <w:t xml:space="preserve"> This model is strictly prohibited from being used for pricing individual retail mortgages or consumer credit products.</w:t>
      </w:r>
    </w:p>
    <w:p w14:paraId="3B439D3A" w14:textId="77777777" w:rsidR="000F3DC0" w:rsidRPr="00C502FD" w:rsidRDefault="000F3DC0" w:rsidP="00C502FD">
      <w:pPr>
        <w:jc w:val="center"/>
        <w:rPr>
          <w:rFonts w:ascii="Garamond" w:hAnsi="Garamond" w:cs="Arial"/>
          <w:b/>
          <w:bCs/>
          <w:sz w:val="22"/>
          <w:szCs w:val="22"/>
          <w:u w:val="single"/>
        </w:rPr>
      </w:pPr>
      <w:r w:rsidRPr="00C502FD">
        <w:rPr>
          <w:rFonts w:ascii="Garamond" w:hAnsi="Garamond" w:cs="Arial"/>
          <w:b/>
          <w:bCs/>
          <w:sz w:val="22"/>
          <w:szCs w:val="22"/>
          <w:u w:val="single"/>
        </w:rPr>
        <w:t>3. Conceptual Soundness</w:t>
      </w:r>
    </w:p>
    <w:p w14:paraId="2BF398EE"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The underlying mathematical framework is a multivariate binomial logistic regression. It maps continuous and categorical borrower variables into a probability space between 0 and 1.</w:t>
      </w:r>
    </w:p>
    <w:p w14:paraId="3B3EBAA7" w14:textId="77777777" w:rsidR="000F3DC0" w:rsidRPr="00C502FD" w:rsidRDefault="000F3DC0" w:rsidP="000F3DC0">
      <w:pPr>
        <w:rPr>
          <w:rFonts w:ascii="Garamond" w:hAnsi="Garamond" w:cs="Arial"/>
          <w:b/>
          <w:bCs/>
          <w:sz w:val="22"/>
          <w:szCs w:val="22"/>
        </w:rPr>
      </w:pPr>
      <w:r w:rsidRPr="00C502FD">
        <w:rPr>
          <w:rFonts w:ascii="Garamond" w:hAnsi="Garamond" w:cs="Arial"/>
          <w:b/>
          <w:bCs/>
          <w:sz w:val="22"/>
          <w:szCs w:val="22"/>
        </w:rPr>
        <w:t>3.1 Mathematical Formulation</w:t>
      </w:r>
    </w:p>
    <w:p w14:paraId="708B6A7D"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The log-odds of default are defined by the following equation:</w:t>
      </w:r>
    </w:p>
    <w:p w14:paraId="2F8124BD" w14:textId="49A6ABDD" w:rsidR="000F3DC0" w:rsidRPr="00C502FD" w:rsidRDefault="000F3DC0" w:rsidP="000F3DC0">
      <w:pPr>
        <w:rPr>
          <w:rFonts w:ascii="Garamond" w:hAnsi="Garamond" w:cs="Arial"/>
          <w:b/>
          <w:bCs/>
          <w:sz w:val="22"/>
          <w:szCs w:val="22"/>
        </w:rPr>
      </w:pPr>
      <m:oMathPara>
        <m:oMath>
          <m:r>
            <m:rPr>
              <m:sty m:val="bi"/>
            </m:rPr>
            <w:rPr>
              <w:rFonts w:ascii="Cambria Math" w:hAnsi="Cambria Math" w:cs="Arial"/>
              <w:sz w:val="22"/>
              <w:szCs w:val="22"/>
            </w:rPr>
            <m:t>PD=</m:t>
          </m:r>
          <m:f>
            <m:fPr>
              <m:ctrlPr>
                <w:rPr>
                  <w:rFonts w:ascii="Cambria Math" w:hAnsi="Cambria Math" w:cs="Arial"/>
                  <w:b/>
                  <w:bCs/>
                  <w:sz w:val="22"/>
                  <w:szCs w:val="22"/>
                </w:rPr>
              </m:ctrlPr>
            </m:fPr>
            <m:num>
              <m:r>
                <m:rPr>
                  <m:sty m:val="bi"/>
                </m:rPr>
                <w:rPr>
                  <w:rFonts w:ascii="Cambria Math" w:hAnsi="Cambria Math" w:cs="Arial"/>
                  <w:sz w:val="22"/>
                  <w:szCs w:val="22"/>
                </w:rPr>
                <m:t>1</m:t>
              </m:r>
            </m:num>
            <m:den>
              <m:r>
                <m:rPr>
                  <m:sty m:val="bi"/>
                </m:rPr>
                <w:rPr>
                  <w:rFonts w:ascii="Cambria Math" w:hAnsi="Cambria Math" w:cs="Arial"/>
                  <w:sz w:val="22"/>
                  <w:szCs w:val="22"/>
                </w:rPr>
                <m:t>1+</m:t>
              </m:r>
              <m:sSup>
                <m:sSupPr>
                  <m:ctrlPr>
                    <w:rPr>
                      <w:rFonts w:ascii="Cambria Math" w:hAnsi="Cambria Math" w:cs="Arial"/>
                      <w:b/>
                      <w:bCs/>
                      <w:sz w:val="22"/>
                      <w:szCs w:val="22"/>
                    </w:rPr>
                  </m:ctrlPr>
                </m:sSupPr>
                <m:e>
                  <m:r>
                    <m:rPr>
                      <m:sty m:val="bi"/>
                    </m:rPr>
                    <w:rPr>
                      <w:rFonts w:ascii="Cambria Math" w:hAnsi="Cambria Math" w:cs="Arial"/>
                      <w:sz w:val="22"/>
                      <w:szCs w:val="22"/>
                    </w:rPr>
                    <m:t>e</m:t>
                  </m:r>
                </m:e>
                <m:sup>
                  <m:r>
                    <m:rPr>
                      <m:sty m:val="bi"/>
                    </m:rPr>
                    <w:rPr>
                      <w:rFonts w:ascii="Cambria Math" w:hAnsi="Cambria Math" w:cs="Arial"/>
                      <w:sz w:val="22"/>
                      <w:szCs w:val="22"/>
                    </w:rPr>
                    <m:t>-</m:t>
                  </m:r>
                  <m:d>
                    <m:dPr>
                      <m:ctrlPr>
                        <w:rPr>
                          <w:rFonts w:ascii="Cambria Math" w:hAnsi="Cambria Math" w:cs="Arial"/>
                          <w:b/>
                          <w:bCs/>
                          <w:sz w:val="22"/>
                          <w:szCs w:val="22"/>
                        </w:rPr>
                      </m:ctrlPr>
                    </m:dPr>
                    <m:e>
                      <m:sSub>
                        <m:sSubPr>
                          <m:ctrlPr>
                            <w:rPr>
                              <w:rFonts w:ascii="Cambria Math" w:hAnsi="Cambria Math" w:cs="Arial"/>
                              <w:b/>
                              <w:bCs/>
                              <w:sz w:val="22"/>
                              <w:szCs w:val="22"/>
                            </w:rPr>
                          </m:ctrlPr>
                        </m:sSubPr>
                        <m:e>
                          <m:r>
                            <m:rPr>
                              <m:sty m:val="bi"/>
                            </m:rPr>
                            <w:rPr>
                              <w:rFonts w:ascii="Cambria Math" w:hAnsi="Cambria Math" w:cs="Arial"/>
                              <w:sz w:val="22"/>
                              <w:szCs w:val="22"/>
                            </w:rPr>
                            <m:t>β</m:t>
                          </m:r>
                        </m:e>
                        <m:sub>
                          <m:r>
                            <m:rPr>
                              <m:sty m:val="bi"/>
                            </m:rPr>
                            <w:rPr>
                              <w:rFonts w:ascii="Cambria Math" w:hAnsi="Cambria Math" w:cs="Arial"/>
                              <w:sz w:val="22"/>
                              <w:szCs w:val="22"/>
                            </w:rPr>
                            <m:t>0</m:t>
                          </m:r>
                        </m:sub>
                      </m:sSub>
                      <m:r>
                        <m:rPr>
                          <m:sty m:val="bi"/>
                        </m:rPr>
                        <w:rPr>
                          <w:rFonts w:ascii="Cambria Math" w:hAnsi="Cambria Math" w:cs="Arial"/>
                          <w:sz w:val="22"/>
                          <w:szCs w:val="22"/>
                        </w:rPr>
                        <m:t>+</m:t>
                      </m:r>
                      <m:sSub>
                        <m:sSubPr>
                          <m:ctrlPr>
                            <w:rPr>
                              <w:rFonts w:ascii="Cambria Math" w:hAnsi="Cambria Math" w:cs="Arial"/>
                              <w:b/>
                              <w:bCs/>
                              <w:sz w:val="22"/>
                              <w:szCs w:val="22"/>
                            </w:rPr>
                          </m:ctrlPr>
                        </m:sSubPr>
                        <m:e>
                          <m:r>
                            <m:rPr>
                              <m:sty m:val="bi"/>
                            </m:rPr>
                            <w:rPr>
                              <w:rFonts w:ascii="Cambria Math" w:hAnsi="Cambria Math" w:cs="Arial"/>
                              <w:sz w:val="22"/>
                              <w:szCs w:val="22"/>
                            </w:rPr>
                            <m:t>β</m:t>
                          </m:r>
                        </m:e>
                        <m:sub>
                          <m:r>
                            <m:rPr>
                              <m:sty m:val="bi"/>
                            </m:rPr>
                            <w:rPr>
                              <w:rFonts w:ascii="Cambria Math" w:hAnsi="Cambria Math" w:cs="Arial"/>
                              <w:sz w:val="22"/>
                              <w:szCs w:val="22"/>
                            </w:rPr>
                            <m:t>1</m:t>
                          </m:r>
                        </m:sub>
                      </m:sSub>
                      <m:r>
                        <m:rPr>
                          <m:nor/>
                        </m:rPr>
                        <w:rPr>
                          <w:rFonts w:ascii="Garamond" w:hAnsi="Garamond" w:cs="Arial"/>
                          <w:b/>
                          <w:bCs/>
                          <w:sz w:val="22"/>
                          <w:szCs w:val="22"/>
                        </w:rPr>
                        <m:t>LTV</m:t>
                      </m:r>
                      <m:r>
                        <m:rPr>
                          <m:sty m:val="bi"/>
                        </m:rPr>
                        <w:rPr>
                          <w:rFonts w:ascii="Cambria Math" w:hAnsi="Cambria Math" w:cs="Arial"/>
                          <w:sz w:val="22"/>
                          <w:szCs w:val="22"/>
                        </w:rPr>
                        <m:t>+</m:t>
                      </m:r>
                      <m:sSub>
                        <m:sSubPr>
                          <m:ctrlPr>
                            <w:rPr>
                              <w:rFonts w:ascii="Cambria Math" w:hAnsi="Cambria Math" w:cs="Arial"/>
                              <w:b/>
                              <w:bCs/>
                              <w:sz w:val="22"/>
                              <w:szCs w:val="22"/>
                            </w:rPr>
                          </m:ctrlPr>
                        </m:sSubPr>
                        <m:e>
                          <m:r>
                            <m:rPr>
                              <m:sty m:val="bi"/>
                            </m:rPr>
                            <w:rPr>
                              <w:rFonts w:ascii="Cambria Math" w:hAnsi="Cambria Math" w:cs="Arial"/>
                              <w:sz w:val="22"/>
                              <w:szCs w:val="22"/>
                            </w:rPr>
                            <m:t>β</m:t>
                          </m:r>
                        </m:e>
                        <m:sub>
                          <m:r>
                            <m:rPr>
                              <m:sty m:val="bi"/>
                            </m:rPr>
                            <w:rPr>
                              <w:rFonts w:ascii="Cambria Math" w:hAnsi="Cambria Math" w:cs="Arial"/>
                              <w:sz w:val="22"/>
                              <w:szCs w:val="22"/>
                            </w:rPr>
                            <m:t>2</m:t>
                          </m:r>
                        </m:sub>
                      </m:sSub>
                      <m:r>
                        <m:rPr>
                          <m:nor/>
                        </m:rPr>
                        <w:rPr>
                          <w:rFonts w:ascii="Garamond" w:hAnsi="Garamond" w:cs="Arial"/>
                          <w:b/>
                          <w:bCs/>
                          <w:sz w:val="22"/>
                          <w:szCs w:val="22"/>
                        </w:rPr>
                        <m:t>DSCR</m:t>
                      </m:r>
                      <m:r>
                        <m:rPr>
                          <m:sty m:val="bi"/>
                        </m:rPr>
                        <w:rPr>
                          <w:rFonts w:ascii="Cambria Math" w:hAnsi="Cambria Math" w:cs="Arial"/>
                          <w:sz w:val="22"/>
                          <w:szCs w:val="22"/>
                        </w:rPr>
                        <m:t>+</m:t>
                      </m:r>
                      <m:sSub>
                        <m:sSubPr>
                          <m:ctrlPr>
                            <w:rPr>
                              <w:rFonts w:ascii="Cambria Math" w:hAnsi="Cambria Math" w:cs="Arial"/>
                              <w:b/>
                              <w:bCs/>
                              <w:sz w:val="22"/>
                              <w:szCs w:val="22"/>
                            </w:rPr>
                          </m:ctrlPr>
                        </m:sSubPr>
                        <m:e>
                          <m:r>
                            <m:rPr>
                              <m:sty m:val="bi"/>
                            </m:rPr>
                            <w:rPr>
                              <w:rFonts w:ascii="Cambria Math" w:hAnsi="Cambria Math" w:cs="Arial"/>
                              <w:sz w:val="22"/>
                              <w:szCs w:val="22"/>
                            </w:rPr>
                            <m:t>β</m:t>
                          </m:r>
                        </m:e>
                        <m:sub>
                          <m:r>
                            <m:rPr>
                              <m:sty m:val="bi"/>
                            </m:rPr>
                            <w:rPr>
                              <w:rFonts w:ascii="Cambria Math" w:hAnsi="Cambria Math" w:cs="Arial"/>
                              <w:sz w:val="22"/>
                              <w:szCs w:val="22"/>
                            </w:rPr>
                            <m:t>3</m:t>
                          </m:r>
                        </m:sub>
                      </m:sSub>
                      <m:r>
                        <m:rPr>
                          <m:nor/>
                        </m:rPr>
                        <w:rPr>
                          <w:rFonts w:ascii="Garamond" w:hAnsi="Garamond" w:cs="Arial"/>
                          <w:b/>
                          <w:bCs/>
                          <w:sz w:val="22"/>
                          <w:szCs w:val="22"/>
                        </w:rPr>
                        <m:t>Macro</m:t>
                      </m:r>
                    </m:e>
                  </m:d>
                </m:sup>
              </m:sSup>
            </m:den>
          </m:f>
        </m:oMath>
      </m:oMathPara>
    </w:p>
    <w:p w14:paraId="086B2CB9"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lastRenderedPageBreak/>
        <w:t>Validator's Assessment:</w:t>
      </w:r>
      <w:r w:rsidRPr="00C502FD">
        <w:rPr>
          <w:rFonts w:ascii="Garamond" w:hAnsi="Garamond" w:cs="Arial"/>
          <w:sz w:val="22"/>
          <w:szCs w:val="22"/>
        </w:rPr>
        <w:t xml:space="preserve"> The choice of logistic regression is conceptually sound for binary credit classification. It correctly bounds outputs, preventing theoretically impossible negative default probabilities, and offers high coefficient interpretability required for fair lending audits.</w:t>
      </w:r>
    </w:p>
    <w:p w14:paraId="129F6251" w14:textId="77777777" w:rsidR="000F3DC0" w:rsidRPr="00C502FD" w:rsidRDefault="000F3DC0" w:rsidP="000F3DC0">
      <w:pPr>
        <w:rPr>
          <w:rFonts w:ascii="Garamond" w:hAnsi="Garamond" w:cs="Arial"/>
          <w:b/>
          <w:bCs/>
          <w:sz w:val="22"/>
          <w:szCs w:val="22"/>
        </w:rPr>
      </w:pPr>
      <w:r w:rsidRPr="00C502FD">
        <w:rPr>
          <w:rFonts w:ascii="Garamond" w:hAnsi="Garamond" w:cs="Arial"/>
          <w:b/>
          <w:bCs/>
          <w:sz w:val="22"/>
          <w:szCs w:val="22"/>
        </w:rPr>
        <w:t>3.2 Variable Selection &amp; Theoretical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2933"/>
        <w:gridCol w:w="5199"/>
      </w:tblGrid>
      <w:tr w:rsidR="000F3DC0" w:rsidRPr="00C502FD" w14:paraId="198FAC3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B7E3E"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6C893"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Financial Rationale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95DC9"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Validator Assessment</w:t>
            </w:r>
          </w:p>
        </w:tc>
      </w:tr>
      <w:tr w:rsidR="000F3DC0" w:rsidRPr="00C502FD" w14:paraId="239DF5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E2BF8"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LTV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9A434"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Captures collateral coverage.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D5A4D"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Sound. Represents the primary driver of strategic default.</w:t>
            </w:r>
          </w:p>
        </w:tc>
      </w:tr>
      <w:tr w:rsidR="000F3DC0" w:rsidRPr="00C502FD" w14:paraId="5C459B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95595"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DSCR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533FB"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Captures operational cash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811F4"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Sound. Accurately measures short-term debt servicing ability.</w:t>
            </w:r>
          </w:p>
        </w:tc>
      </w:tr>
      <w:tr w:rsidR="000F3DC0" w:rsidRPr="00C502FD" w14:paraId="0FE7C4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C545E"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Macro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DA18B"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Regional unemployment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B3407"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Sound. Links systemic economic health to borrower solvency.</w:t>
            </w:r>
          </w:p>
        </w:tc>
      </w:tr>
    </w:tbl>
    <w:p w14:paraId="497A0CB7"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Identified Limitation:</w:t>
      </w:r>
      <w:r w:rsidRPr="00C502FD">
        <w:rPr>
          <w:rFonts w:ascii="Garamond" w:hAnsi="Garamond" w:cs="Arial"/>
          <w:sz w:val="22"/>
          <w:szCs w:val="22"/>
        </w:rPr>
        <w:t xml:space="preserve"> The model excludes "Property Type" (e.g., Office vs. Multi-family) as a categorical variable. Given the structural bifurcation in commercial real estate post-2020, treating all asset classes with identical LTVs as sharing identical risk profiles is a conceptual weakness that may under-predict defaults in the commercial office sector.</w:t>
      </w:r>
    </w:p>
    <w:p w14:paraId="6A469BCC" w14:textId="77777777" w:rsidR="000F3DC0" w:rsidRPr="00C502FD" w:rsidRDefault="000F3DC0" w:rsidP="00C502FD">
      <w:pPr>
        <w:jc w:val="center"/>
        <w:rPr>
          <w:rFonts w:ascii="Garamond" w:hAnsi="Garamond" w:cs="Arial"/>
          <w:b/>
          <w:bCs/>
          <w:sz w:val="22"/>
          <w:szCs w:val="22"/>
          <w:u w:val="single"/>
        </w:rPr>
      </w:pPr>
      <w:r w:rsidRPr="00C502FD">
        <w:rPr>
          <w:rFonts w:ascii="Garamond" w:hAnsi="Garamond" w:cs="Arial"/>
          <w:b/>
          <w:bCs/>
          <w:sz w:val="22"/>
          <w:szCs w:val="22"/>
          <w:u w:val="single"/>
        </w:rPr>
        <w:t>4. Data Integrity &amp; System Implementation</w:t>
      </w:r>
    </w:p>
    <w:p w14:paraId="31D3E0B7"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A rigorous audit of the raw data ingestion pipeline was conducted to evaluate the handling of missing, erroneous, or boundary-violating inputs.</w:t>
      </w:r>
    </w:p>
    <w:p w14:paraId="28608CC5" w14:textId="77777777" w:rsidR="000F3DC0" w:rsidRPr="00C502FD" w:rsidRDefault="000F3DC0" w:rsidP="000F3DC0">
      <w:pPr>
        <w:numPr>
          <w:ilvl w:val="0"/>
          <w:numId w:val="4"/>
        </w:numPr>
        <w:rPr>
          <w:rFonts w:ascii="Garamond" w:hAnsi="Garamond" w:cs="Arial"/>
          <w:sz w:val="22"/>
          <w:szCs w:val="22"/>
        </w:rPr>
      </w:pPr>
      <w:r w:rsidRPr="00C502FD">
        <w:rPr>
          <w:rFonts w:ascii="Garamond" w:hAnsi="Garamond" w:cs="Arial"/>
          <w:b/>
          <w:bCs/>
          <w:sz w:val="22"/>
          <w:szCs w:val="22"/>
        </w:rPr>
        <w:t>Missing Values:</w:t>
      </w:r>
      <w:r w:rsidRPr="00C502FD">
        <w:rPr>
          <w:rFonts w:ascii="Garamond" w:hAnsi="Garamond" w:cs="Arial"/>
          <w:sz w:val="22"/>
          <w:szCs w:val="22"/>
        </w:rPr>
        <w:t xml:space="preserve"> The dataset contained dropped LTV records. The model development team successfully implemented a median-imputation protocol; however, the validation team recommends rejecting incomplete records entirely to prevent synthetic data from artificially lowering variance.</w:t>
      </w:r>
    </w:p>
    <w:p w14:paraId="1B053590" w14:textId="77777777" w:rsidR="000F3DC0" w:rsidRPr="00C502FD" w:rsidRDefault="000F3DC0" w:rsidP="000F3DC0">
      <w:pPr>
        <w:numPr>
          <w:ilvl w:val="0"/>
          <w:numId w:val="4"/>
        </w:numPr>
        <w:rPr>
          <w:rFonts w:ascii="Garamond" w:hAnsi="Garamond" w:cs="Arial"/>
          <w:sz w:val="22"/>
          <w:szCs w:val="22"/>
        </w:rPr>
      </w:pPr>
      <w:r w:rsidRPr="00C502FD">
        <w:rPr>
          <w:rFonts w:ascii="Garamond" w:hAnsi="Garamond" w:cs="Arial"/>
          <w:b/>
          <w:bCs/>
          <w:sz w:val="22"/>
          <w:szCs w:val="22"/>
        </w:rPr>
        <w:t>Boundary Logic Violations:</w:t>
      </w:r>
      <w:r w:rsidRPr="00C502FD">
        <w:rPr>
          <w:rFonts w:ascii="Garamond" w:hAnsi="Garamond" w:cs="Arial"/>
          <w:sz w:val="22"/>
          <w:szCs w:val="22"/>
        </w:rPr>
        <w:t xml:space="preserve"> The validation script identified records containing impossible states, including DSCR &lt; 0 and unflagged LTV &gt; 1.05 (indicating unsecured exposure without proper coding).</w:t>
      </w:r>
    </w:p>
    <w:p w14:paraId="31E4A08B" w14:textId="77777777" w:rsidR="000F3DC0" w:rsidRPr="00C502FD" w:rsidRDefault="000F3DC0" w:rsidP="000F3DC0">
      <w:pPr>
        <w:numPr>
          <w:ilvl w:val="0"/>
          <w:numId w:val="4"/>
        </w:numPr>
        <w:rPr>
          <w:rFonts w:ascii="Garamond" w:hAnsi="Garamond" w:cs="Arial"/>
          <w:sz w:val="22"/>
          <w:szCs w:val="22"/>
        </w:rPr>
      </w:pPr>
      <w:r w:rsidRPr="00C502FD">
        <w:rPr>
          <w:rFonts w:ascii="Garamond" w:hAnsi="Garamond" w:cs="Arial"/>
          <w:b/>
          <w:bCs/>
          <w:sz w:val="22"/>
          <w:szCs w:val="22"/>
        </w:rPr>
        <w:t>Remediation:</w:t>
      </w:r>
      <w:r w:rsidRPr="00C502FD">
        <w:rPr>
          <w:rFonts w:ascii="Garamond" w:hAnsi="Garamond" w:cs="Arial"/>
          <w:sz w:val="22"/>
          <w:szCs w:val="22"/>
        </w:rPr>
        <w:t xml:space="preserve"> The validation team applied stringent cleaning protocols, purging records outside the physically possible boundaries of the financial system prior to out-of-sample testing.</w:t>
      </w:r>
    </w:p>
    <w:p w14:paraId="2AEFB60F" w14:textId="77777777" w:rsidR="000F3DC0" w:rsidRPr="005B3557" w:rsidRDefault="000F3DC0" w:rsidP="005B3557">
      <w:pPr>
        <w:jc w:val="center"/>
        <w:rPr>
          <w:rFonts w:ascii="Garamond" w:hAnsi="Garamond" w:cs="Arial"/>
          <w:b/>
          <w:bCs/>
          <w:sz w:val="22"/>
          <w:szCs w:val="22"/>
          <w:u w:val="single"/>
        </w:rPr>
      </w:pPr>
      <w:r w:rsidRPr="005B3557">
        <w:rPr>
          <w:rFonts w:ascii="Garamond" w:hAnsi="Garamond" w:cs="Arial"/>
          <w:b/>
          <w:bCs/>
          <w:sz w:val="22"/>
          <w:szCs w:val="22"/>
          <w:u w:val="single"/>
        </w:rPr>
        <w:t xml:space="preserve">5. Outcomes Analysis &amp; Out-of-Sample </w:t>
      </w:r>
      <w:proofErr w:type="spellStart"/>
      <w:r w:rsidRPr="005B3557">
        <w:rPr>
          <w:rFonts w:ascii="Garamond" w:hAnsi="Garamond" w:cs="Arial"/>
          <w:b/>
          <w:bCs/>
          <w:sz w:val="22"/>
          <w:szCs w:val="22"/>
          <w:u w:val="single"/>
        </w:rPr>
        <w:t>Backtesting</w:t>
      </w:r>
      <w:proofErr w:type="spellEnd"/>
    </w:p>
    <w:p w14:paraId="492834D1"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The model was trained on an 80% sample partition and evaluated on a pristine 20% out-of-sample holdout to test predictive reliability and prevent overfitting.</w:t>
      </w:r>
    </w:p>
    <w:p w14:paraId="7C5D0A19" w14:textId="77777777" w:rsidR="005B3557" w:rsidRDefault="005B3557" w:rsidP="000F3DC0">
      <w:pPr>
        <w:rPr>
          <w:rFonts w:ascii="Garamond" w:hAnsi="Garamond" w:cs="Arial"/>
          <w:b/>
          <w:bCs/>
          <w:sz w:val="22"/>
          <w:szCs w:val="22"/>
        </w:rPr>
      </w:pPr>
    </w:p>
    <w:p w14:paraId="3926B18F" w14:textId="77777777" w:rsidR="005B3557" w:rsidRDefault="005B3557" w:rsidP="000F3DC0">
      <w:pPr>
        <w:rPr>
          <w:rFonts w:ascii="Garamond" w:hAnsi="Garamond" w:cs="Arial"/>
          <w:b/>
          <w:bCs/>
          <w:sz w:val="22"/>
          <w:szCs w:val="22"/>
        </w:rPr>
      </w:pPr>
    </w:p>
    <w:p w14:paraId="0AF7C96A" w14:textId="77777777" w:rsidR="005B3557" w:rsidRDefault="005B3557" w:rsidP="000F3DC0">
      <w:pPr>
        <w:rPr>
          <w:rFonts w:ascii="Garamond" w:hAnsi="Garamond" w:cs="Arial"/>
          <w:b/>
          <w:bCs/>
          <w:sz w:val="22"/>
          <w:szCs w:val="22"/>
        </w:rPr>
      </w:pPr>
    </w:p>
    <w:p w14:paraId="267F07D3" w14:textId="1C768C79" w:rsidR="000F3DC0" w:rsidRPr="00C502FD" w:rsidRDefault="000F3DC0" w:rsidP="000F3DC0">
      <w:pPr>
        <w:rPr>
          <w:rFonts w:ascii="Garamond" w:hAnsi="Garamond" w:cs="Arial"/>
          <w:b/>
          <w:bCs/>
          <w:sz w:val="22"/>
          <w:szCs w:val="22"/>
        </w:rPr>
      </w:pPr>
      <w:r w:rsidRPr="00C502FD">
        <w:rPr>
          <w:rFonts w:ascii="Garamond" w:hAnsi="Garamond" w:cs="Arial"/>
          <w:b/>
          <w:bCs/>
          <w:sz w:val="22"/>
          <w:szCs w:val="22"/>
        </w:rPr>
        <w:lastRenderedPageBreak/>
        <w:t>5.1 Performance Metrics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22"/>
        <w:gridCol w:w="1016"/>
        <w:gridCol w:w="2098"/>
        <w:gridCol w:w="1004"/>
      </w:tblGrid>
      <w:tr w:rsidR="000F3DC0" w:rsidRPr="00C502FD" w14:paraId="3FB83344" w14:textId="77777777" w:rsidTr="00C502FD">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BF195"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FC95B"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C7503"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Industry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1BC79"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Status</w:t>
            </w:r>
          </w:p>
        </w:tc>
      </w:tr>
      <w:tr w:rsidR="000F3DC0" w:rsidRPr="00C502FD" w14:paraId="4AEA603E" w14:textId="77777777" w:rsidTr="00C502FD">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39238"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ROC-AUC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D3200"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0.762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42B07"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&gt; 0.70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37D4A"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Pass</w:t>
            </w:r>
          </w:p>
        </w:tc>
      </w:tr>
      <w:tr w:rsidR="000F3DC0" w:rsidRPr="00C502FD" w14:paraId="61B39E22" w14:textId="77777777" w:rsidTr="00C502FD">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AF4A1"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Brier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7909E"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0.084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3C5DB"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Closer to 0 is better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A2ED6"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Pass</w:t>
            </w:r>
          </w:p>
        </w:tc>
      </w:tr>
      <w:tr w:rsidR="000F3DC0" w:rsidRPr="00C502FD" w14:paraId="6137F240" w14:textId="77777777" w:rsidTr="00C502FD">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668C0"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P-Value (All Vars)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D64E4"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&lt; 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4622F"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&lt; 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7795E"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Pass</w:t>
            </w:r>
          </w:p>
        </w:tc>
      </w:tr>
    </w:tbl>
    <w:p w14:paraId="3A5558B1"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Validator's Assessment:</w:t>
      </w:r>
      <w:r w:rsidRPr="00C502FD">
        <w:rPr>
          <w:rFonts w:ascii="Garamond" w:hAnsi="Garamond" w:cs="Arial"/>
          <w:sz w:val="22"/>
          <w:szCs w:val="22"/>
        </w:rPr>
        <w:t xml:space="preserve"> The ROC-AUC score of 0.762 confirms the model possesses strong rank-ordering capability on unseen data. The coefficients behave in the expected economic directions (higher LTV increases PD; higher DSCR decreases PD).</w:t>
      </w:r>
    </w:p>
    <w:p w14:paraId="7738572A" w14:textId="77777777" w:rsidR="000F3DC0" w:rsidRPr="000C7A7E" w:rsidRDefault="000F3DC0" w:rsidP="005B3557">
      <w:pPr>
        <w:jc w:val="center"/>
        <w:rPr>
          <w:rFonts w:ascii="Garamond" w:hAnsi="Garamond" w:cs="Arial"/>
          <w:b/>
          <w:bCs/>
          <w:sz w:val="22"/>
          <w:szCs w:val="22"/>
          <w:u w:val="single"/>
        </w:rPr>
      </w:pPr>
      <w:r w:rsidRPr="000C7A7E">
        <w:rPr>
          <w:rFonts w:ascii="Garamond" w:hAnsi="Garamond" w:cs="Arial"/>
          <w:b/>
          <w:bCs/>
          <w:sz w:val="22"/>
          <w:szCs w:val="22"/>
          <w:u w:val="single"/>
        </w:rPr>
        <w:t>6. Stress Testing &amp; Expected Loss (EL)</w:t>
      </w:r>
    </w:p>
    <w:p w14:paraId="0996A9A1" w14:textId="64158B09" w:rsidR="005F6A9A" w:rsidRPr="005F6A9A" w:rsidRDefault="000F3DC0" w:rsidP="000F3DC0">
      <w:pPr>
        <w:rPr>
          <w:rFonts w:ascii="Garamond" w:hAnsi="Garamond" w:cs="Arial"/>
          <w:sz w:val="22"/>
          <w:szCs w:val="22"/>
        </w:rPr>
      </w:pPr>
      <w:r w:rsidRPr="00C502FD">
        <w:rPr>
          <w:rFonts w:ascii="Garamond" w:hAnsi="Garamond" w:cs="Arial"/>
          <w:sz w:val="22"/>
          <w:szCs w:val="22"/>
        </w:rPr>
        <w:t>To evaluate capital adequacy under extreme adverse conditions, the validation team subjected the out-of-sample portfolio to a severe macroeconomic shock scenario.</w:t>
      </w:r>
    </w:p>
    <w:p w14:paraId="676CF4A2" w14:textId="4EEA3240" w:rsidR="000F3DC0" w:rsidRPr="00C502FD" w:rsidRDefault="000F3DC0" w:rsidP="000F3DC0">
      <w:pPr>
        <w:rPr>
          <w:rFonts w:ascii="Garamond" w:hAnsi="Garamond" w:cs="Arial"/>
          <w:sz w:val="22"/>
          <w:szCs w:val="22"/>
        </w:rPr>
      </w:pPr>
      <w:r w:rsidRPr="00C502FD">
        <w:rPr>
          <w:rFonts w:ascii="Garamond" w:hAnsi="Garamond" w:cs="Arial"/>
          <w:b/>
          <w:bCs/>
          <w:sz w:val="22"/>
          <w:szCs w:val="22"/>
        </w:rPr>
        <w:t>The Shock Scenario:</w:t>
      </w:r>
    </w:p>
    <w:p w14:paraId="59F1E189" w14:textId="77777777" w:rsidR="000F3DC0" w:rsidRPr="00C502FD" w:rsidRDefault="000F3DC0" w:rsidP="000F3DC0">
      <w:pPr>
        <w:numPr>
          <w:ilvl w:val="0"/>
          <w:numId w:val="5"/>
        </w:numPr>
        <w:rPr>
          <w:rFonts w:ascii="Garamond" w:hAnsi="Garamond" w:cs="Arial"/>
          <w:sz w:val="22"/>
          <w:szCs w:val="22"/>
        </w:rPr>
      </w:pPr>
      <w:r w:rsidRPr="00C502FD">
        <w:rPr>
          <w:rFonts w:ascii="Garamond" w:hAnsi="Garamond" w:cs="Arial"/>
          <w:sz w:val="22"/>
          <w:szCs w:val="22"/>
        </w:rPr>
        <w:t>Regional unemployment is forced to a flat 12% across all exposures.</w:t>
      </w:r>
    </w:p>
    <w:p w14:paraId="747CBE40" w14:textId="72EB7B68" w:rsidR="000F3DC0" w:rsidRPr="005F6A9A" w:rsidRDefault="000F3DC0" w:rsidP="000F3DC0">
      <w:pPr>
        <w:numPr>
          <w:ilvl w:val="0"/>
          <w:numId w:val="5"/>
        </w:numPr>
        <w:rPr>
          <w:rFonts w:ascii="Garamond" w:hAnsi="Garamond" w:cs="Arial"/>
          <w:sz w:val="22"/>
          <w:szCs w:val="22"/>
        </w:rPr>
      </w:pPr>
      <w:r w:rsidRPr="00C502FD">
        <w:rPr>
          <w:rFonts w:ascii="Garamond" w:hAnsi="Garamond" w:cs="Arial"/>
          <w:sz w:val="22"/>
          <w:szCs w:val="22"/>
        </w:rPr>
        <w:t>Commercial property values experience a sudden 20% depreciation, mathematically increasing the LTV of all active loans by a factor of 1.25.</w:t>
      </w:r>
    </w:p>
    <w:p w14:paraId="7FD2E8C0" w14:textId="6FCBB21C" w:rsidR="000F3DC0" w:rsidRPr="00C502FD" w:rsidRDefault="000F3DC0" w:rsidP="000F3DC0">
      <w:pPr>
        <w:rPr>
          <w:rFonts w:ascii="Garamond" w:hAnsi="Garamond" w:cs="Arial"/>
          <w:b/>
          <w:bCs/>
          <w:sz w:val="22"/>
          <w:szCs w:val="22"/>
        </w:rPr>
      </w:pPr>
      <w:r w:rsidRPr="00C502FD">
        <w:rPr>
          <w:rFonts w:ascii="Garamond" w:hAnsi="Garamond" w:cs="Arial"/>
          <w:b/>
          <w:bCs/>
          <w:sz w:val="22"/>
          <w:szCs w:val="22"/>
        </w:rPr>
        <w:t>6.1 Dollar-Value Financial Impact</w:t>
      </w:r>
    </w:p>
    <w:p w14:paraId="5937F91F" w14:textId="1CAEBB71" w:rsidR="000F3DC0" w:rsidRPr="00C502FD" w:rsidRDefault="000F3DC0" w:rsidP="000F3DC0">
      <w:pPr>
        <w:rPr>
          <w:rFonts w:ascii="Garamond" w:hAnsi="Garamond" w:cs="Arial"/>
          <w:sz w:val="22"/>
          <w:szCs w:val="22"/>
        </w:rPr>
      </w:pPr>
      <w:r w:rsidRPr="00C502FD">
        <w:rPr>
          <w:rFonts w:ascii="Garamond" w:hAnsi="Garamond" w:cs="Arial"/>
          <w:sz w:val="22"/>
          <w:szCs w:val="22"/>
        </w:rPr>
        <w:t xml:space="preserve">Expected Loss is calculated using the standard regulatory framework: </w:t>
      </w:r>
      <m:oMath>
        <m:r>
          <w:rPr>
            <w:rFonts w:ascii="Cambria Math" w:hAnsi="Cambria Math" w:cs="Arial"/>
            <w:sz w:val="22"/>
            <w:szCs w:val="22"/>
          </w:rPr>
          <m:t>EL=PD×LGD×EAD</m:t>
        </m:r>
      </m:oMath>
      <w:r w:rsidRPr="00C502FD">
        <w:rPr>
          <w:rFonts w:ascii="Garamond" w:hAnsi="Garamond" w:cs="Arial"/>
          <w:sz w:val="22"/>
          <w:szCs w:val="22"/>
        </w:rPr>
        <w:t>. Under the stress scenario, the Loss Given Default (LGD) baseline assumption was elevated from 45% to 65% to reflect depressed recovery values during a market crash.</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03"/>
        <w:gridCol w:w="2066"/>
        <w:gridCol w:w="2666"/>
        <w:gridCol w:w="1155"/>
      </w:tblGrid>
      <w:tr w:rsidR="000F3DC0" w:rsidRPr="00C502FD" w14:paraId="77EC3F45" w14:textId="77777777" w:rsidTr="00C502FD">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CFF57"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C87B8"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Baseline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F72E4"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Severe Adverse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74E85"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Change</w:t>
            </w:r>
          </w:p>
        </w:tc>
      </w:tr>
      <w:tr w:rsidR="000F3DC0" w:rsidRPr="00C502FD" w14:paraId="7AC5EC41" w14:textId="77777777" w:rsidTr="00C502FD">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43D1E"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Average Portfolio PD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975E5"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CD5C5"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15.8%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1988C"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+ 3.7x</w:t>
            </w:r>
          </w:p>
        </w:tc>
      </w:tr>
      <w:tr w:rsidR="000F3DC0" w:rsidRPr="00C502FD" w14:paraId="5890C1C9" w14:textId="77777777" w:rsidTr="00C502FD">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56713"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Watchlist (Loans &gt; 20% PD)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FEEFC"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02465"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418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11147"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+ 10.0x</w:t>
            </w:r>
          </w:p>
        </w:tc>
      </w:tr>
      <w:tr w:rsidR="000F3DC0" w:rsidRPr="00C502FD" w14:paraId="1823A713" w14:textId="77777777" w:rsidTr="00C502FD">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71290"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Total Expected Loss (EL)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FF049"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$1.85 Million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1EF6B"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$9.62 Million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ABFF9" w14:textId="77777777" w:rsidR="000F3DC0" w:rsidRPr="00C502FD" w:rsidRDefault="000F3DC0" w:rsidP="000F3DC0">
            <w:pPr>
              <w:rPr>
                <w:rFonts w:ascii="Garamond" w:hAnsi="Garamond" w:cs="Arial"/>
                <w:sz w:val="22"/>
                <w:szCs w:val="22"/>
              </w:rPr>
            </w:pPr>
            <w:r w:rsidRPr="00C502FD">
              <w:rPr>
                <w:rFonts w:ascii="Garamond" w:hAnsi="Garamond" w:cs="Arial"/>
                <w:b/>
                <w:bCs/>
                <w:sz w:val="22"/>
                <w:szCs w:val="22"/>
              </w:rPr>
              <w:t>+ 5.2x</w:t>
            </w:r>
          </w:p>
        </w:tc>
      </w:tr>
    </w:tbl>
    <w:p w14:paraId="48198BB9" w14:textId="77777777" w:rsidR="005F6A9A" w:rsidRDefault="005F6A9A" w:rsidP="000F3DC0">
      <w:pPr>
        <w:rPr>
          <w:rFonts w:ascii="Garamond" w:hAnsi="Garamond" w:cs="Arial"/>
          <w:b/>
          <w:bCs/>
          <w:sz w:val="22"/>
          <w:szCs w:val="22"/>
        </w:rPr>
      </w:pPr>
    </w:p>
    <w:p w14:paraId="28F542EF" w14:textId="77777777" w:rsidR="005F6A9A" w:rsidRDefault="005F6A9A" w:rsidP="000F3DC0">
      <w:pPr>
        <w:rPr>
          <w:rFonts w:ascii="Garamond" w:hAnsi="Garamond" w:cs="Arial"/>
          <w:b/>
          <w:bCs/>
          <w:sz w:val="22"/>
          <w:szCs w:val="22"/>
        </w:rPr>
      </w:pPr>
    </w:p>
    <w:p w14:paraId="5E393126" w14:textId="77777777" w:rsidR="00297825" w:rsidRDefault="00297825" w:rsidP="000F3DC0">
      <w:pPr>
        <w:rPr>
          <w:rFonts w:ascii="Garamond" w:hAnsi="Garamond" w:cs="Arial"/>
          <w:b/>
          <w:bCs/>
          <w:sz w:val="22"/>
          <w:szCs w:val="22"/>
        </w:rPr>
      </w:pPr>
    </w:p>
    <w:p w14:paraId="2ACD41DF" w14:textId="01EC3851" w:rsidR="000F3DC0" w:rsidRPr="00C502FD" w:rsidRDefault="000F3DC0" w:rsidP="000F3DC0">
      <w:pPr>
        <w:rPr>
          <w:rFonts w:ascii="Garamond" w:hAnsi="Garamond" w:cs="Arial"/>
          <w:sz w:val="22"/>
          <w:szCs w:val="22"/>
        </w:rPr>
      </w:pPr>
      <w:r w:rsidRPr="00C502FD">
        <w:rPr>
          <w:rFonts w:ascii="Garamond" w:hAnsi="Garamond" w:cs="Arial"/>
          <w:b/>
          <w:bCs/>
          <w:sz w:val="22"/>
          <w:szCs w:val="22"/>
        </w:rPr>
        <w:lastRenderedPageBreak/>
        <w:t>Validator's Conclusion:</w:t>
      </w:r>
    </w:p>
    <w:p w14:paraId="1F64C3CF"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The model successfully computes stress scenarios without mathematical failure or returning boundary-violating probabilities. However, the risk committee must note the non-linear consequence of systemic shocks: while the probability of default scales by a factor of 3.7, the simultaneous collapse in collateral values drives the actual Expected Loss (capital shortfall) up by a factor of 5.2. The bank must ensure adequate Tier 1 capital reserves to absorb this $9.62M shocked loss.</w:t>
      </w:r>
    </w:p>
    <w:p w14:paraId="77B88DB9" w14:textId="77777777" w:rsidR="000F3DC0" w:rsidRPr="005F6A9A" w:rsidRDefault="000F3DC0" w:rsidP="005F6A9A">
      <w:pPr>
        <w:jc w:val="center"/>
        <w:rPr>
          <w:rFonts w:ascii="Garamond" w:hAnsi="Garamond" w:cs="Arial"/>
          <w:b/>
          <w:bCs/>
          <w:sz w:val="22"/>
          <w:szCs w:val="22"/>
          <w:u w:val="single"/>
        </w:rPr>
      </w:pPr>
      <w:r w:rsidRPr="005F6A9A">
        <w:rPr>
          <w:rFonts w:ascii="Garamond" w:hAnsi="Garamond" w:cs="Arial"/>
          <w:b/>
          <w:bCs/>
          <w:sz w:val="22"/>
          <w:szCs w:val="22"/>
          <w:u w:val="single"/>
        </w:rPr>
        <w:t>7. Ongoing Monitoring &amp; Governance</w:t>
      </w:r>
    </w:p>
    <w:p w14:paraId="7E21F4E1" w14:textId="77777777" w:rsidR="000F3DC0" w:rsidRPr="00C502FD" w:rsidRDefault="000F3DC0" w:rsidP="000F3DC0">
      <w:pPr>
        <w:rPr>
          <w:rFonts w:ascii="Garamond" w:hAnsi="Garamond" w:cs="Arial"/>
          <w:sz w:val="22"/>
          <w:szCs w:val="22"/>
        </w:rPr>
      </w:pPr>
      <w:r w:rsidRPr="00C502FD">
        <w:rPr>
          <w:rFonts w:ascii="Garamond" w:hAnsi="Garamond" w:cs="Arial"/>
          <w:sz w:val="22"/>
          <w:szCs w:val="22"/>
        </w:rPr>
        <w:t>In compliance with SR 11-7, this model must be subject to continuous monitoring to detect performance decay or regime shifts.</w:t>
      </w:r>
    </w:p>
    <w:p w14:paraId="77BC538C" w14:textId="77777777" w:rsidR="000F3DC0" w:rsidRPr="00C502FD" w:rsidRDefault="000F3DC0" w:rsidP="000F3DC0">
      <w:pPr>
        <w:numPr>
          <w:ilvl w:val="0"/>
          <w:numId w:val="6"/>
        </w:numPr>
        <w:rPr>
          <w:rFonts w:ascii="Garamond" w:hAnsi="Garamond" w:cs="Arial"/>
          <w:sz w:val="22"/>
          <w:szCs w:val="22"/>
        </w:rPr>
      </w:pPr>
      <w:r w:rsidRPr="00C502FD">
        <w:rPr>
          <w:rFonts w:ascii="Garamond" w:hAnsi="Garamond" w:cs="Arial"/>
          <w:b/>
          <w:bCs/>
          <w:sz w:val="22"/>
          <w:szCs w:val="22"/>
        </w:rPr>
        <w:t>Validation Frequency:</w:t>
      </w:r>
      <w:r w:rsidRPr="00C502FD">
        <w:rPr>
          <w:rFonts w:ascii="Garamond" w:hAnsi="Garamond" w:cs="Arial"/>
          <w:sz w:val="22"/>
          <w:szCs w:val="22"/>
        </w:rPr>
        <w:t xml:space="preserve"> Annually.</w:t>
      </w:r>
    </w:p>
    <w:p w14:paraId="0EDE0CC9" w14:textId="77777777" w:rsidR="000F3DC0" w:rsidRPr="00C502FD" w:rsidRDefault="000F3DC0" w:rsidP="000F3DC0">
      <w:pPr>
        <w:numPr>
          <w:ilvl w:val="0"/>
          <w:numId w:val="6"/>
        </w:numPr>
        <w:rPr>
          <w:rFonts w:ascii="Garamond" w:hAnsi="Garamond" w:cs="Arial"/>
          <w:sz w:val="22"/>
          <w:szCs w:val="22"/>
        </w:rPr>
      </w:pPr>
      <w:r w:rsidRPr="00C502FD">
        <w:rPr>
          <w:rFonts w:ascii="Garamond" w:hAnsi="Garamond" w:cs="Arial"/>
          <w:b/>
          <w:bCs/>
          <w:sz w:val="22"/>
          <w:szCs w:val="22"/>
        </w:rPr>
        <w:t>Performance Triggers:</w:t>
      </w:r>
      <w:r w:rsidRPr="00C502FD">
        <w:rPr>
          <w:rFonts w:ascii="Garamond" w:hAnsi="Garamond" w:cs="Arial"/>
          <w:sz w:val="22"/>
          <w:szCs w:val="22"/>
        </w:rPr>
        <w:t xml:space="preserve"> If the out-of-sample ROC-AUC drops below 0.70 for two consecutive quarters, the model must be quarantined and recalibrated to reflect the new macroeconomic environment.</w:t>
      </w:r>
    </w:p>
    <w:p w14:paraId="6DA3B2CF" w14:textId="77777777" w:rsidR="00A31525" w:rsidRPr="00C502FD" w:rsidRDefault="00A31525">
      <w:pPr>
        <w:rPr>
          <w:rFonts w:ascii="Garamond" w:hAnsi="Garamond" w:cs="Arial"/>
          <w:sz w:val="22"/>
          <w:szCs w:val="22"/>
        </w:rPr>
      </w:pPr>
    </w:p>
    <w:sectPr w:rsidR="00A31525" w:rsidRPr="00C50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A65A0"/>
    <w:multiLevelType w:val="multilevel"/>
    <w:tmpl w:val="0BEC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996979"/>
    <w:multiLevelType w:val="multilevel"/>
    <w:tmpl w:val="45BC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5F4EC4"/>
    <w:multiLevelType w:val="multilevel"/>
    <w:tmpl w:val="042C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0113D4"/>
    <w:multiLevelType w:val="multilevel"/>
    <w:tmpl w:val="D106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9A256F"/>
    <w:multiLevelType w:val="multilevel"/>
    <w:tmpl w:val="87F0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4A615E"/>
    <w:multiLevelType w:val="multilevel"/>
    <w:tmpl w:val="24EA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159760">
    <w:abstractNumId w:val="5"/>
  </w:num>
  <w:num w:numId="2" w16cid:durableId="1464275724">
    <w:abstractNumId w:val="3"/>
  </w:num>
  <w:num w:numId="3" w16cid:durableId="1977879858">
    <w:abstractNumId w:val="1"/>
  </w:num>
  <w:num w:numId="4" w16cid:durableId="1551265896">
    <w:abstractNumId w:val="4"/>
  </w:num>
  <w:num w:numId="5" w16cid:durableId="1294674784">
    <w:abstractNumId w:val="2"/>
  </w:num>
  <w:num w:numId="6" w16cid:durableId="1184246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525"/>
    <w:rsid w:val="000C7A7E"/>
    <w:rsid w:val="000F3DC0"/>
    <w:rsid w:val="00144D16"/>
    <w:rsid w:val="00297825"/>
    <w:rsid w:val="00472512"/>
    <w:rsid w:val="005115B2"/>
    <w:rsid w:val="005B3557"/>
    <w:rsid w:val="005F6A9A"/>
    <w:rsid w:val="00716CE9"/>
    <w:rsid w:val="007C3757"/>
    <w:rsid w:val="008C584D"/>
    <w:rsid w:val="0094381B"/>
    <w:rsid w:val="00A31525"/>
    <w:rsid w:val="00B259E3"/>
    <w:rsid w:val="00C27D02"/>
    <w:rsid w:val="00C502FD"/>
    <w:rsid w:val="00E2439D"/>
    <w:rsid w:val="00EC6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418A1"/>
  <w15:chartTrackingRefBased/>
  <w15:docId w15:val="{52B565DA-FFDC-484D-B214-225694E5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525"/>
    <w:rPr>
      <w:rFonts w:eastAsiaTheme="majorEastAsia" w:cstheme="majorBidi"/>
      <w:color w:val="272727" w:themeColor="text1" w:themeTint="D8"/>
    </w:rPr>
  </w:style>
  <w:style w:type="paragraph" w:styleId="Title">
    <w:name w:val="Title"/>
    <w:basedOn w:val="Normal"/>
    <w:next w:val="Normal"/>
    <w:link w:val="TitleChar"/>
    <w:uiPriority w:val="10"/>
    <w:qFormat/>
    <w:rsid w:val="00A31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525"/>
    <w:pPr>
      <w:spacing w:before="160"/>
      <w:jc w:val="center"/>
    </w:pPr>
    <w:rPr>
      <w:i/>
      <w:iCs/>
      <w:color w:val="404040" w:themeColor="text1" w:themeTint="BF"/>
    </w:rPr>
  </w:style>
  <w:style w:type="character" w:customStyle="1" w:styleId="QuoteChar">
    <w:name w:val="Quote Char"/>
    <w:basedOn w:val="DefaultParagraphFont"/>
    <w:link w:val="Quote"/>
    <w:uiPriority w:val="29"/>
    <w:rsid w:val="00A31525"/>
    <w:rPr>
      <w:i/>
      <w:iCs/>
      <w:color w:val="404040" w:themeColor="text1" w:themeTint="BF"/>
    </w:rPr>
  </w:style>
  <w:style w:type="paragraph" w:styleId="ListParagraph">
    <w:name w:val="List Paragraph"/>
    <w:basedOn w:val="Normal"/>
    <w:uiPriority w:val="34"/>
    <w:qFormat/>
    <w:rsid w:val="00A31525"/>
    <w:pPr>
      <w:ind w:left="720"/>
      <w:contextualSpacing/>
    </w:pPr>
  </w:style>
  <w:style w:type="character" w:styleId="IntenseEmphasis">
    <w:name w:val="Intense Emphasis"/>
    <w:basedOn w:val="DefaultParagraphFont"/>
    <w:uiPriority w:val="21"/>
    <w:qFormat/>
    <w:rsid w:val="00A31525"/>
    <w:rPr>
      <w:i/>
      <w:iCs/>
      <w:color w:val="0F4761" w:themeColor="accent1" w:themeShade="BF"/>
    </w:rPr>
  </w:style>
  <w:style w:type="paragraph" w:styleId="IntenseQuote">
    <w:name w:val="Intense Quote"/>
    <w:basedOn w:val="Normal"/>
    <w:next w:val="Normal"/>
    <w:link w:val="IntenseQuoteChar"/>
    <w:uiPriority w:val="30"/>
    <w:qFormat/>
    <w:rsid w:val="00A31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525"/>
    <w:rPr>
      <w:i/>
      <w:iCs/>
      <w:color w:val="0F4761" w:themeColor="accent1" w:themeShade="BF"/>
    </w:rPr>
  </w:style>
  <w:style w:type="character" w:styleId="IntenseReference">
    <w:name w:val="Intense Reference"/>
    <w:basedOn w:val="DefaultParagraphFont"/>
    <w:uiPriority w:val="32"/>
    <w:qFormat/>
    <w:rsid w:val="00A31525"/>
    <w:rPr>
      <w:b/>
      <w:bCs/>
      <w:smallCaps/>
      <w:color w:val="0F4761" w:themeColor="accent1" w:themeShade="BF"/>
      <w:spacing w:val="5"/>
    </w:rPr>
  </w:style>
  <w:style w:type="paragraph" w:styleId="NoSpacing">
    <w:name w:val="No Spacing"/>
    <w:link w:val="NoSpacingChar"/>
    <w:uiPriority w:val="1"/>
    <w:qFormat/>
    <w:rsid w:val="00E2439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2439D"/>
    <w:rPr>
      <w:rFonts w:eastAsiaTheme="minorEastAsia"/>
      <w:kern w:val="0"/>
      <w:sz w:val="22"/>
      <w:szCs w:val="22"/>
      <w14:ligatures w14:val="none"/>
    </w:rPr>
  </w:style>
  <w:style w:type="character" w:styleId="Hyperlink">
    <w:name w:val="Hyperlink"/>
    <w:basedOn w:val="DefaultParagraphFont"/>
    <w:uiPriority w:val="99"/>
    <w:unhideWhenUsed/>
    <w:rsid w:val="00144D16"/>
    <w:rPr>
      <w:color w:val="467886" w:themeColor="hyperlink"/>
      <w:u w:val="single"/>
    </w:rPr>
  </w:style>
  <w:style w:type="character" w:styleId="UnresolvedMention">
    <w:name w:val="Unresolved Mention"/>
    <w:basedOn w:val="DefaultParagraphFont"/>
    <w:uiPriority w:val="99"/>
    <w:semiHidden/>
    <w:unhideWhenUsed/>
    <w:rsid w:val="00144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973</Words>
  <Characters>6161</Characters>
  <Application>Microsoft Office Word</Application>
  <DocSecurity>0</DocSecurity>
  <Lines>176</Lines>
  <Paragraphs>127</Paragraphs>
  <ScaleCrop>false</ScaleCrop>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Lucero</dc:creator>
  <cp:keywords/>
  <dc:description/>
  <cp:lastModifiedBy>Nicolas Lucero</cp:lastModifiedBy>
  <cp:revision>16</cp:revision>
  <cp:lastPrinted>2026-07-29T01:27:00Z</cp:lastPrinted>
  <dcterms:created xsi:type="dcterms:W3CDTF">2026-07-28T21:57:00Z</dcterms:created>
  <dcterms:modified xsi:type="dcterms:W3CDTF">2026-07-29T01:28:00Z</dcterms:modified>
</cp:coreProperties>
</file>