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23FBBAAD" w14:textId="035F03F2" w:rsidR="00C60395" w:rsidRPr="002B2DCB" w:rsidRDefault="007A48D7" w:rsidP="009F7917">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sidR="00CB02A6">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C51B75">
        <w:rPr>
          <w:sz w:val="24"/>
          <w:szCs w:val="24"/>
        </w:rPr>
        <w:t xml:space="preserve">The original motivation to create GRNsight came from our efforts to </w:t>
      </w:r>
      <w:r w:rsidR="00F64737" w:rsidRPr="002B2DCB">
        <w:rPr>
          <w:rFonts w:cs="Times New Roman"/>
          <w:sz w:val="24"/>
          <w:szCs w:val="24"/>
        </w:rPr>
        <w:t xml:space="preserve">perform parameter estimation and forward simulation of the dynamics of a differential equations model of a </w:t>
      </w:r>
      <w:r w:rsidR="00641DA2">
        <w:rPr>
          <w:rFonts w:cs="Times New Roman"/>
          <w:sz w:val="24"/>
          <w:szCs w:val="24"/>
        </w:rPr>
        <w:t>small</w:t>
      </w:r>
      <w:r w:rsidR="009E2F79" w:rsidRPr="002B2DCB">
        <w:rPr>
          <w:rFonts w:cs="Times New Roman"/>
          <w:sz w:val="24"/>
          <w:szCs w:val="24"/>
        </w:rPr>
        <w:t xml:space="preserve"> </w:t>
      </w:r>
      <w:r w:rsidR="00F64737" w:rsidRPr="002B2DCB">
        <w:rPr>
          <w:rFonts w:cs="Times New Roman"/>
          <w:sz w:val="24"/>
          <w:szCs w:val="24"/>
        </w:rPr>
        <w:t>GRN</w:t>
      </w:r>
      <w:r w:rsidR="0094795B">
        <w:rPr>
          <w:rFonts w:cs="Times New Roman"/>
          <w:sz w:val="24"/>
          <w:szCs w:val="24"/>
        </w:rPr>
        <w:t xml:space="preserve"> with 21 nodes and 31</w:t>
      </w:r>
      <w:r w:rsidR="00C51B75">
        <w:rPr>
          <w:rFonts w:cs="Times New Roman"/>
          <w:sz w:val="24"/>
          <w:szCs w:val="24"/>
        </w:rPr>
        <w:t xml:space="preserve"> edges</w:t>
      </w:r>
      <w:r w:rsidR="00F64737" w:rsidRPr="002B2DCB">
        <w:rPr>
          <w:rFonts w:cs="Times New Roman"/>
          <w:sz w:val="24"/>
          <w:szCs w:val="24"/>
        </w:rPr>
        <w:t xml:space="preserve">. We wanted a quick and easy way to visualize the weight parameters from the model which represent the direction and magnitude of the influence of a transcription factor on its target gene. </w:t>
      </w:r>
      <w:r w:rsidR="00F64737" w:rsidRPr="002B2DCB">
        <w:rPr>
          <w:sz w:val="24"/>
          <w:szCs w:val="24"/>
        </w:rPr>
        <w:t xml:space="preserve">The general graph visualization tools that exist for displaying GRNs did not fulfill our needs, so we created GRNsight. </w:t>
      </w:r>
      <w:r w:rsidR="00F64737"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t>
      </w:r>
      <w:r w:rsidR="009E2F79" w:rsidRPr="002B2DCB">
        <w:rPr>
          <w:rFonts w:cs="Times New Roman"/>
          <w:sz w:val="24"/>
          <w:szCs w:val="24"/>
        </w:rPr>
        <w:t xml:space="preserve">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w:t>
      </w:r>
      <w:r w:rsidR="009E2F79" w:rsidRPr="002B2DCB">
        <w:rPr>
          <w:rFonts w:cs="Times New Roman"/>
          <w:sz w:val="24"/>
          <w:szCs w:val="24"/>
        </w:rPr>
        <w:lastRenderedPageBreak/>
        <w:t xml:space="preserve">mouses over an edge, the numerical value of the weight parameter is displayed. Visualizations can be modified </w:t>
      </w:r>
      <w:r w:rsidR="00343EA5">
        <w:rPr>
          <w:rFonts w:cs="Times New Roman"/>
          <w:sz w:val="24"/>
          <w:szCs w:val="24"/>
        </w:rPr>
        <w:t xml:space="preserve">by </w:t>
      </w:r>
      <w:r w:rsidR="009E2F79" w:rsidRPr="002B2DCB">
        <w:rPr>
          <w:rFonts w:cs="Times New Roman"/>
          <w:sz w:val="24"/>
          <w:szCs w:val="24"/>
        </w:rPr>
        <w:t xml:space="preserve">sliders that adjust D3.js’s force </w:t>
      </w:r>
      <w:r w:rsidR="003311E7">
        <w:rPr>
          <w:rFonts w:cs="Times New Roman"/>
          <w:sz w:val="24"/>
          <w:szCs w:val="24"/>
        </w:rPr>
        <w:t xml:space="preserve">graph </w:t>
      </w:r>
      <w:r w:rsidR="009E2F79" w:rsidRPr="002B2DCB">
        <w:rPr>
          <w:rFonts w:cs="Times New Roman"/>
          <w:sz w:val="24"/>
          <w:szCs w:val="24"/>
        </w:rPr>
        <w:t>layout parameters</w:t>
      </w:r>
      <w:r w:rsidR="00D720D7">
        <w:rPr>
          <w:rFonts w:cs="Times New Roman"/>
          <w:sz w:val="24"/>
          <w:szCs w:val="24"/>
        </w:rPr>
        <w:t xml:space="preserve"> and through manual node dragging</w:t>
      </w:r>
      <w:r w:rsidR="009E2F79" w:rsidRPr="002B2DCB">
        <w:rPr>
          <w:rFonts w:cs="Times New Roman"/>
          <w:sz w:val="24"/>
          <w:szCs w:val="24"/>
        </w:rPr>
        <w:t>. GRNsight is best-suited for visualizing networks of fewer than 35 nod</w:t>
      </w:r>
      <w:r w:rsidR="00C038EA">
        <w:rPr>
          <w:rFonts w:cs="Times New Roman"/>
          <w:sz w:val="24"/>
          <w:szCs w:val="24"/>
        </w:rPr>
        <w:t xml:space="preserve">es and 70 edges, although it </w:t>
      </w:r>
      <w:r w:rsidR="009E2F79" w:rsidRPr="002B2DCB">
        <w:rPr>
          <w:rFonts w:cs="Times New Roman"/>
          <w:sz w:val="24"/>
          <w:szCs w:val="24"/>
        </w:rPr>
        <w:t>accept</w:t>
      </w:r>
      <w:r w:rsidR="00C038EA">
        <w:rPr>
          <w:rFonts w:cs="Times New Roman"/>
          <w:sz w:val="24"/>
          <w:szCs w:val="24"/>
        </w:rPr>
        <w:t>s</w:t>
      </w:r>
      <w:r w:rsidR="009E2F79" w:rsidRPr="002B2DCB">
        <w:rPr>
          <w:rFonts w:cs="Times New Roman"/>
          <w:sz w:val="24"/>
          <w:szCs w:val="24"/>
        </w:rPr>
        <w:t xml:space="preserve"> networks of up to 75 nodes </w:t>
      </w:r>
      <w:r w:rsidR="00D51BE6">
        <w:rPr>
          <w:rFonts w:cs="Times New Roman"/>
          <w:sz w:val="24"/>
          <w:szCs w:val="24"/>
        </w:rPr>
        <w:t>or</w:t>
      </w:r>
      <w:r w:rsidR="009E2F79" w:rsidRPr="002B2DCB">
        <w:rPr>
          <w:rFonts w:cs="Times New Roman"/>
          <w:sz w:val="24"/>
          <w:szCs w:val="24"/>
        </w:rPr>
        <w:t xml:space="preserve"> 150 edges.  </w:t>
      </w:r>
      <w:r w:rsidR="009E2F79" w:rsidRPr="002B2DCB">
        <w:rPr>
          <w:rFonts w:eastAsia="Times New Roman" w:cs="Times New Roman"/>
          <w:sz w:val="24"/>
          <w:szCs w:val="24"/>
        </w:rPr>
        <w:t xml:space="preserve">GRNsight has a demo function that allows users to load sample data.  Although it was originally designed to facilitate visualization of these demo data, we believe that GRNsight has general utility for the systems biology community as a simple and quick way to view data in an adjacency matrix format.  </w:t>
      </w:r>
      <w:r w:rsidR="009E2F79" w:rsidRPr="003B7C8C">
        <w:rPr>
          <w:rFonts w:cs="Times New Roman"/>
          <w:sz w:val="24"/>
          <w:szCs w:val="24"/>
        </w:rPr>
        <w:t xml:space="preserve">GRNsight </w:t>
      </w:r>
      <w:r w:rsidR="002421BC" w:rsidRPr="003B7C8C">
        <w:rPr>
          <w:rFonts w:cs="Times New Roman"/>
          <w:sz w:val="24"/>
          <w:szCs w:val="24"/>
        </w:rPr>
        <w:t>serves as an example of following and teaching best practices for scientific computing, using</w:t>
      </w:r>
      <w:r w:rsidR="002421BC">
        <w:rPr>
          <w:rFonts w:cs="Times New Roman"/>
          <w:sz w:val="24"/>
          <w:szCs w:val="24"/>
        </w:rPr>
        <w:t xml:space="preserve"> </w:t>
      </w:r>
      <w:r w:rsidR="009E2F79" w:rsidRPr="002B2DCB">
        <w:rPr>
          <w:rFonts w:cs="Times New Roman"/>
          <w:sz w:val="24"/>
          <w:szCs w:val="24"/>
        </w:rPr>
        <w:t xml:space="preserve">an open </w:t>
      </w:r>
      <w:r w:rsidR="002D027C">
        <w:rPr>
          <w:rFonts w:cs="Times New Roman"/>
          <w:sz w:val="24"/>
          <w:szCs w:val="24"/>
        </w:rPr>
        <w:t xml:space="preserve">and test-driven </w:t>
      </w:r>
      <w:r w:rsidR="009E2F79" w:rsidRPr="002B2DCB">
        <w:rPr>
          <w:rFonts w:cs="Times New Roman"/>
          <w:sz w:val="24"/>
          <w:szCs w:val="24"/>
        </w:rPr>
        <w:t xml:space="preserve">development model with rigorous documentation of requirements and issues on GitHub. </w:t>
      </w:r>
      <w:r w:rsidR="002D027C">
        <w:rPr>
          <w:rFonts w:cs="Times New Roman"/>
          <w:sz w:val="24"/>
          <w:szCs w:val="24"/>
        </w:rPr>
        <w:t>A</w:t>
      </w:r>
      <w:r w:rsidR="002D027C" w:rsidRPr="002B2DCB">
        <w:rPr>
          <w:sz w:val="24"/>
          <w:szCs w:val="24"/>
        </w:rPr>
        <w:t xml:space="preserve">n exhaustive unit testing framework using Mocha and the Chai assertion library consists of over </w:t>
      </w:r>
      <w:r w:rsidR="00BE0AF2" w:rsidRPr="00D260ED">
        <w:rPr>
          <w:sz w:val="24"/>
          <w:szCs w:val="24"/>
        </w:rPr>
        <w:t>130</w:t>
      </w:r>
      <w:r w:rsidR="00BE0AF2" w:rsidRPr="002B2DCB">
        <w:rPr>
          <w:sz w:val="24"/>
          <w:szCs w:val="24"/>
        </w:rPr>
        <w:t xml:space="preserve"> </w:t>
      </w:r>
      <w:r w:rsidR="002D027C" w:rsidRPr="002B2DCB">
        <w:rPr>
          <w:sz w:val="24"/>
          <w:szCs w:val="24"/>
        </w:rPr>
        <w:t>automat</w:t>
      </w:r>
      <w:r w:rsidR="00EA0084">
        <w:rPr>
          <w:sz w:val="24"/>
          <w:szCs w:val="24"/>
        </w:rPr>
        <w:t>ed unit tests that examine over</w:t>
      </w:r>
      <w:r w:rsidR="002D027C" w:rsidRPr="002B2DCB">
        <w:rPr>
          <w:sz w:val="24"/>
          <w:szCs w:val="24"/>
        </w:rPr>
        <w:t xml:space="preserve"> </w:t>
      </w:r>
      <w:r w:rsidR="00B12B15" w:rsidRPr="00D260ED">
        <w:rPr>
          <w:sz w:val="24"/>
          <w:szCs w:val="24"/>
        </w:rPr>
        <w:t>52</w:t>
      </w:r>
      <w:r w:rsidR="002D027C" w:rsidRPr="00D260ED">
        <w:rPr>
          <w:sz w:val="24"/>
          <w:szCs w:val="24"/>
        </w:rPr>
        <w:t>0</w:t>
      </w:r>
      <w:r w:rsidR="002D027C" w:rsidRPr="002B2DCB">
        <w:rPr>
          <w:sz w:val="24"/>
          <w:szCs w:val="24"/>
        </w:rPr>
        <w:t xml:space="preserve"> test files to ensure that the program is running as expected. </w:t>
      </w:r>
      <w:r w:rsidRPr="002B2DCB">
        <w:rPr>
          <w:sz w:val="24"/>
          <w:szCs w:val="24"/>
        </w:rPr>
        <w:t xml:space="preserve">GRNsight is available </w:t>
      </w:r>
      <w:r w:rsidR="009174B0">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r w:rsidRPr="00F23987">
        <w:rPr>
          <w:sz w:val="24"/>
          <w:szCs w:val="24"/>
        </w:rPr>
        <w:t xml:space="preserve">Pavlopoulos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w:t>
      </w:r>
      <w:r w:rsidR="00C36973">
        <w:rPr>
          <w:sz w:val="24"/>
          <w:szCs w:val="24"/>
        </w:rPr>
        <w:lastRenderedPageBreak/>
        <w:t>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 xml:space="preserve">We also saw the creation of a new tool as an opportunity to </w:t>
      </w:r>
      <w:r w:rsidR="00435937">
        <w:rPr>
          <w:sz w:val="24"/>
          <w:szCs w:val="24"/>
        </w:rPr>
        <w:t xml:space="preserve">serve as a model for best </w:t>
      </w:r>
      <w:r w:rsidR="00435937" w:rsidRPr="00F23987">
        <w:rPr>
          <w:sz w:val="24"/>
          <w:szCs w:val="24"/>
        </w:rPr>
        <w:t>practices for software development in bioinformatics (Schultheiss,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(.xlsx)</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14820FF2" w14:textId="2A3C7AB4" w:rsidR="008B7E11"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w:t>
      </w:r>
      <w:r w:rsidR="00072128">
        <w:rPr>
          <w:sz w:val="24"/>
          <w:szCs w:val="24"/>
        </w:rPr>
        <w:lastRenderedPageBreak/>
        <w:t xml:space="preserve">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w:t>
      </w:r>
      <w:r w:rsidR="00DA2FA3">
        <w:rPr>
          <w:sz w:val="24"/>
          <w:szCs w:val="24"/>
        </w:rPr>
        <w:lastRenderedPageBreak/>
        <w:t xml:space="preserve">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lastRenderedPageBreak/>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2E32781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over </w:t>
      </w:r>
      <w:r w:rsidR="00BE0AF2" w:rsidRPr="00F23987">
        <w:rPr>
          <w:sz w:val="24"/>
          <w:szCs w:val="24"/>
        </w:rPr>
        <w:t xml:space="preserve">130 </w:t>
      </w:r>
      <w:r w:rsidR="003314BA" w:rsidRPr="00F23987">
        <w:rPr>
          <w:sz w:val="24"/>
          <w:szCs w:val="24"/>
        </w:rPr>
        <w:t xml:space="preserve">automated unit tests that examine </w:t>
      </w:r>
      <w:r w:rsidR="00B76857" w:rsidRPr="00F23987">
        <w:rPr>
          <w:sz w:val="24"/>
          <w:szCs w:val="24"/>
        </w:rPr>
        <w:t xml:space="preserve">over </w:t>
      </w:r>
      <w:r w:rsidR="00A057AA" w:rsidRPr="00F23987">
        <w:rPr>
          <w:sz w:val="24"/>
          <w:szCs w:val="24"/>
        </w:rPr>
        <w:t xml:space="preserve">520 </w:t>
      </w:r>
      <w:r w:rsidR="003314BA" w:rsidRPr="00F23987">
        <w:rPr>
          <w:sz w:val="24"/>
          <w:szCs w:val="24"/>
        </w:rPr>
        <w:t xml:space="preserve">test files </w:t>
      </w:r>
      <w:r w:rsidR="003314BA" w:rsidRPr="00F23987">
        <w:rPr>
          <w:sz w:val="24"/>
          <w:szCs w:val="24"/>
        </w:rPr>
        <w:lastRenderedPageBreak/>
        <w:t xml:space="preserve">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114D35B9"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Windows 7 and Mac OS X operating systems.  Web site content is available under the</w:t>
      </w:r>
      <w:r>
        <w:rPr>
          <w:sz w:val="24"/>
          <w:szCs w:val="24"/>
        </w:rPr>
        <w:t xml:space="preserve"> </w:t>
      </w:r>
      <w:r w:rsidRPr="007052B5">
        <w:rPr>
          <w:sz w:val="24"/>
          <w:szCs w:val="24"/>
        </w:rPr>
        <w:t xml:space="preserve">Creative </w:t>
      </w:r>
      <w:r w:rsidRPr="00F23987">
        <w:rPr>
          <w:sz w:val="24"/>
          <w:szCs w:val="24"/>
        </w:rPr>
        <w:t>Commons Attribution Non-Commercial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Pr>
          <w:rFonts w:eastAsia="Times New Roman" w:cs="Times New Roman"/>
          <w:sz w:val="24"/>
          <w:szCs w:val="24"/>
        </w:rPr>
        <w:t>14 May 2016</w:t>
      </w:r>
      <w:r w:rsidR="00C754BD" w:rsidRPr="00C754BD">
        <w:rPr>
          <w:rFonts w:eastAsia="Times New Roman" w:cs="Times New Roman"/>
          <w:sz w:val="24"/>
          <w:szCs w:val="24"/>
        </w:rPr>
        <w:t xml:space="preserve">, the GRNsight home page has been accessed </w:t>
      </w:r>
      <w:r w:rsidR="001D6B0E">
        <w:rPr>
          <w:rFonts w:eastAsia="Times New Roman" w:cs="Times New Roman"/>
          <w:sz w:val="24"/>
          <w:szCs w:val="24"/>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Pr>
          <w:rFonts w:eastAsia="Times New Roman" w:cs="Times New Roman"/>
          <w:sz w:val="24"/>
          <w:szCs w:val="24"/>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Pr>
          <w:rFonts w:eastAsia="Times New Roman" w:cs="Times New Roman"/>
          <w:sz w:val="24"/>
          <w:szCs w:val="24"/>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Pr>
          <w:rFonts w:eastAsia="Times New Roman" w:cs="Times New Roman"/>
          <w:sz w:val="24"/>
          <w:szCs w:val="24"/>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utomatically lay</w:t>
      </w:r>
      <w:r w:rsidR="00B35BA6">
        <w:rPr>
          <w:sz w:val="24"/>
          <w:szCs w:val="24"/>
        </w:rPr>
        <w:t>s</w:t>
      </w:r>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w:t>
      </w:r>
      <w:r w:rsidR="009C28A8" w:rsidRPr="00F23987">
        <w:rPr>
          <w:sz w:val="24"/>
          <w:szCs w:val="24"/>
        </w:rPr>
        <w:lastRenderedPageBreak/>
        <w:t xml:space="preserve">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07CF964C"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with the longest including five nodes originating at SKN7. There are several other 4-node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7F509515"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w:t>
      </w:r>
      <w:r w:rsidRPr="00F23987">
        <w:rPr>
          <w:sz w:val="24"/>
          <w:szCs w:val="24"/>
        </w:rPr>
        <w:lastRenderedPageBreak/>
        <w:t>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edges. </w:t>
      </w:r>
      <w:r w:rsidR="00D15626" w:rsidRPr="00F23987">
        <w:rPr>
          <w:sz w:val="24"/>
          <w:szCs w:val="24"/>
        </w:rPr>
        <w:t>I</w:t>
      </w:r>
      <w:r w:rsidRPr="00F23987">
        <w:rPr>
          <w:sz w:val="24"/>
          <w:szCs w:val="24"/>
        </w:rPr>
        <w:t xml:space="preserve">n </w:t>
      </w:r>
      <w:r w:rsidR="00DD1CFC" w:rsidRPr="00F23987">
        <w:rPr>
          <w:sz w:val="24"/>
          <w:szCs w:val="24"/>
        </w:rPr>
        <w:t>Figures 5D, E, and F</w:t>
      </w:r>
      <w:r w:rsidRPr="00F23987">
        <w:rPr>
          <w:sz w:val="24"/>
          <w:szCs w:val="24"/>
        </w:rPr>
        <w:t>, the thickest edge corresponds to the repression of the expre</w:t>
      </w:r>
      <w:r w:rsidR="00A63725" w:rsidRPr="00F23987">
        <w:rPr>
          <w:sz w:val="24"/>
          <w:szCs w:val="24"/>
        </w:rPr>
        <w:t xml:space="preserve">ssion of MSN1 by ABF1 because the absolute value of its weight parameter </w:t>
      </w:r>
      <w:r w:rsidR="00120E50" w:rsidRPr="00F23987">
        <w:rPr>
          <w:sz w:val="24"/>
          <w:szCs w:val="24"/>
        </w:rPr>
        <w:t xml:space="preserve">(-2.97) </w:t>
      </w:r>
      <w:r w:rsidR="00A63725" w:rsidRPr="00F23987">
        <w:rPr>
          <w:sz w:val="24"/>
          <w:szCs w:val="24"/>
        </w:rPr>
        <w:t>has</w:t>
      </w:r>
      <w:r w:rsidR="00120E50" w:rsidRPr="00F23987">
        <w:rPr>
          <w:sz w:val="24"/>
          <w:szCs w:val="24"/>
        </w:rPr>
        <w:t xml:space="preserve"> the highest magnitude</w:t>
      </w:r>
      <w:r w:rsidR="00A63725" w:rsidRPr="00F23987">
        <w:rPr>
          <w:sz w:val="24"/>
          <w:szCs w:val="24"/>
        </w:rPr>
        <w:t xml:space="preserve"> out of all the weights</w:t>
      </w:r>
      <w:r w:rsidR="00547DC2" w:rsidRPr="00F23987">
        <w:rPr>
          <w:sz w:val="24"/>
          <w:szCs w:val="24"/>
        </w:rPr>
        <w:t xml:space="preserve"> (Dahlquist et al., 2015)</w:t>
      </w:r>
      <w:r w:rsidRPr="00F23987">
        <w:rPr>
          <w:sz w:val="24"/>
          <w:szCs w:val="24"/>
        </w:rPr>
        <w:t>.</w:t>
      </w:r>
      <w:r w:rsidR="004D235E" w:rsidRPr="00F23987">
        <w:rPr>
          <w:sz w:val="24"/>
          <w:szCs w:val="24"/>
        </w:rPr>
        <w:t xml:space="preserve"> </w:t>
      </w:r>
    </w:p>
    <w:p w14:paraId="4596EC71" w14:textId="7253310E" w:rsidR="00655BF8" w:rsidRPr="00F23987"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49F9930D" w14:textId="0F01EAE1" w:rsidR="00655BF8" w:rsidRPr="00F23987" w:rsidRDefault="00655BF8" w:rsidP="004D235E">
      <w:pPr>
        <w:spacing w:before="240" w:after="240" w:line="480" w:lineRule="auto"/>
        <w:ind w:firstLine="720"/>
        <w:rPr>
          <w:sz w:val="24"/>
          <w:szCs w:val="24"/>
        </w:rPr>
      </w:pPr>
      <w:r w:rsidRPr="00F23987">
        <w:rPr>
          <w:sz w:val="24"/>
          <w:szCs w:val="24"/>
        </w:rPr>
        <w:t>Because of this visualization of the weight parameters, one can make some interesting observations about the behavior of the network</w:t>
      </w:r>
      <w:r w:rsidR="00B37244" w:rsidRPr="00F23987">
        <w:rPr>
          <w:sz w:val="24"/>
          <w:szCs w:val="24"/>
        </w:rPr>
        <w:t xml:space="preserve"> (Dahlquist et al., 2015)</w:t>
      </w:r>
      <w:r w:rsidRPr="00F23987">
        <w:rPr>
          <w:sz w:val="24"/>
          <w:szCs w:val="24"/>
        </w:rPr>
        <w:t xml:space="preserve">. The expression of several genes is controlled by a balance of activation and repression by different regulators. For </w:t>
      </w:r>
      <w:r w:rsidRPr="00F23987">
        <w:rPr>
          <w:sz w:val="24"/>
          <w:szCs w:val="24"/>
        </w:rPr>
        <w:lastRenderedPageBreak/>
        <w:t xml:space="preserve">example, the expression of MSN1 is strongly activated by CIN5, but even more strongly repressed by ABF1. Furthermore, some </w:t>
      </w:r>
      <w:r w:rsidR="00BF1801" w:rsidRPr="00F23987">
        <w:rPr>
          <w:sz w:val="24"/>
          <w:szCs w:val="24"/>
        </w:rPr>
        <w:t>transcription factors</w:t>
      </w:r>
      <w:r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Nasmyth, 1987)</w:t>
      </w:r>
      <w:r w:rsidRPr="00F23987">
        <w:rPr>
          <w:sz w:val="24"/>
          <w:szCs w:val="24"/>
        </w:rPr>
        <w:t>. Thus, GRNsight enables one to interpret the weight parameters more easily than one could from the adjacency matrix alone.</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xml:space="preserve">, whose own display tool is static, displaying regulators and targets in two rows.  </w:t>
      </w:r>
      <w:r w:rsidR="00716CDE" w:rsidRPr="00F23987">
        <w:rPr>
          <w:sz w:val="24"/>
          <w:szCs w:val="24"/>
        </w:rPr>
        <w:lastRenderedPageBreak/>
        <w:t>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Pr="00F2398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w:t>
      </w:r>
      <w:r w:rsidR="009D1A45" w:rsidRPr="00F23987">
        <w:rPr>
          <w:sz w:val="24"/>
          <w:szCs w:val="24"/>
        </w:rPr>
        <w:lastRenderedPageBreak/>
        <w:t xml:space="preserve">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bookmarkStart w:id="0" w:name="_GoBack"/>
      <w:bookmarkEnd w:id="0"/>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Dionisio JDN., Dahlquist KD. 2008. Improving the computer science in bioinformatics through </w:t>
      </w:r>
      <w:r w:rsidRPr="00F23987">
        <w:rPr>
          <w:rFonts w:cs="Times New Roman"/>
          <w:sz w:val="24"/>
          <w:szCs w:val="24"/>
        </w:rPr>
        <w:lastRenderedPageBreak/>
        <w:t>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lastRenderedPageBreak/>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w:t>
      </w:r>
      <w:r>
        <w:rPr>
          <w:rFonts w:cs="Times New Roman"/>
          <w:sz w:val="24"/>
          <w:szCs w:val="24"/>
        </w:rPr>
        <w:lastRenderedPageBreak/>
        <w:t xml:space="preserve">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7F545" w14:textId="77777777" w:rsidR="005B39F3" w:rsidRDefault="005B39F3" w:rsidP="00C60395">
      <w:r>
        <w:separator/>
      </w:r>
    </w:p>
  </w:endnote>
  <w:endnote w:type="continuationSeparator" w:id="0">
    <w:p w14:paraId="54635784" w14:textId="77777777" w:rsidR="005B39F3" w:rsidRDefault="005B39F3"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F83BE2">
          <w:rPr>
            <w:noProof/>
          </w:rPr>
          <w:t>21</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A3F11" w14:textId="77777777" w:rsidR="005B39F3" w:rsidRDefault="005B39F3" w:rsidP="00C60395">
      <w:r>
        <w:separator/>
      </w:r>
    </w:p>
  </w:footnote>
  <w:footnote w:type="continuationSeparator" w:id="0">
    <w:p w14:paraId="628D3DE3" w14:textId="77777777" w:rsidR="005B39F3" w:rsidRDefault="005B39F3"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62F2"/>
    <w:rsid w:val="00147783"/>
    <w:rsid w:val="00150F26"/>
    <w:rsid w:val="001515A6"/>
    <w:rsid w:val="00151DE1"/>
    <w:rsid w:val="00152295"/>
    <w:rsid w:val="001524D7"/>
    <w:rsid w:val="00153A06"/>
    <w:rsid w:val="00154BE7"/>
    <w:rsid w:val="00154E95"/>
    <w:rsid w:val="00154F78"/>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B3B"/>
    <w:rsid w:val="00215897"/>
    <w:rsid w:val="00216652"/>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31E5"/>
    <w:rsid w:val="00323788"/>
    <w:rsid w:val="00323BF1"/>
    <w:rsid w:val="00324247"/>
    <w:rsid w:val="00325A68"/>
    <w:rsid w:val="00330A66"/>
    <w:rsid w:val="003311E7"/>
    <w:rsid w:val="003314BA"/>
    <w:rsid w:val="003320F4"/>
    <w:rsid w:val="00332A81"/>
    <w:rsid w:val="0033308F"/>
    <w:rsid w:val="0033417E"/>
    <w:rsid w:val="00337A9D"/>
    <w:rsid w:val="00337F6C"/>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F91"/>
    <w:rsid w:val="004E7714"/>
    <w:rsid w:val="004F335A"/>
    <w:rsid w:val="004F4C46"/>
    <w:rsid w:val="004F6990"/>
    <w:rsid w:val="004F6F9F"/>
    <w:rsid w:val="0050102E"/>
    <w:rsid w:val="005019B3"/>
    <w:rsid w:val="00501E6A"/>
    <w:rsid w:val="00502188"/>
    <w:rsid w:val="00503F3B"/>
    <w:rsid w:val="00506626"/>
    <w:rsid w:val="00507FD6"/>
    <w:rsid w:val="00510440"/>
    <w:rsid w:val="00510F10"/>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A23"/>
    <w:rsid w:val="00547DC2"/>
    <w:rsid w:val="005503B1"/>
    <w:rsid w:val="00550D9D"/>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E4A"/>
    <w:rsid w:val="00655618"/>
    <w:rsid w:val="00655BF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B1A55"/>
    <w:rsid w:val="006B349B"/>
    <w:rsid w:val="006B35A6"/>
    <w:rsid w:val="006B379E"/>
    <w:rsid w:val="006B7EC9"/>
    <w:rsid w:val="006C0C3A"/>
    <w:rsid w:val="006C1F9C"/>
    <w:rsid w:val="006C27DB"/>
    <w:rsid w:val="006C2865"/>
    <w:rsid w:val="006C2EE5"/>
    <w:rsid w:val="006C3822"/>
    <w:rsid w:val="006C5787"/>
    <w:rsid w:val="006C6629"/>
    <w:rsid w:val="006C6B2E"/>
    <w:rsid w:val="006C7D23"/>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3473"/>
    <w:rsid w:val="00713484"/>
    <w:rsid w:val="007134D7"/>
    <w:rsid w:val="00714AB8"/>
    <w:rsid w:val="00715083"/>
    <w:rsid w:val="00716580"/>
    <w:rsid w:val="00716CDE"/>
    <w:rsid w:val="00716FEC"/>
    <w:rsid w:val="00717709"/>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3189"/>
    <w:rsid w:val="00853507"/>
    <w:rsid w:val="008544CA"/>
    <w:rsid w:val="008545AD"/>
    <w:rsid w:val="008566E6"/>
    <w:rsid w:val="008613A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3CE2"/>
    <w:rsid w:val="00883D2F"/>
    <w:rsid w:val="00883DDB"/>
    <w:rsid w:val="0089021C"/>
    <w:rsid w:val="0089068F"/>
    <w:rsid w:val="00893FCC"/>
    <w:rsid w:val="00894EDA"/>
    <w:rsid w:val="00895419"/>
    <w:rsid w:val="008960AF"/>
    <w:rsid w:val="00896A7D"/>
    <w:rsid w:val="008A100F"/>
    <w:rsid w:val="008A13AF"/>
    <w:rsid w:val="008A1701"/>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4DE8"/>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35B5"/>
    <w:rsid w:val="00A15547"/>
    <w:rsid w:val="00A17296"/>
    <w:rsid w:val="00A173E4"/>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5162"/>
    <w:rsid w:val="00AD676D"/>
    <w:rsid w:val="00AD68AA"/>
    <w:rsid w:val="00AD6F63"/>
    <w:rsid w:val="00AE254E"/>
    <w:rsid w:val="00AE3AEF"/>
    <w:rsid w:val="00AE61C3"/>
    <w:rsid w:val="00AE6243"/>
    <w:rsid w:val="00AE649B"/>
    <w:rsid w:val="00AE6BE4"/>
    <w:rsid w:val="00AF2A30"/>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65B9"/>
    <w:rsid w:val="00C27707"/>
    <w:rsid w:val="00C279B0"/>
    <w:rsid w:val="00C27DF7"/>
    <w:rsid w:val="00C30FD2"/>
    <w:rsid w:val="00C32C84"/>
    <w:rsid w:val="00C33966"/>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73F2"/>
    <w:rsid w:val="00C82078"/>
    <w:rsid w:val="00C835BC"/>
    <w:rsid w:val="00C83F3C"/>
    <w:rsid w:val="00C85217"/>
    <w:rsid w:val="00C9024F"/>
    <w:rsid w:val="00C9083E"/>
    <w:rsid w:val="00C91EA7"/>
    <w:rsid w:val="00C928B8"/>
    <w:rsid w:val="00C93FB6"/>
    <w:rsid w:val="00CA10B9"/>
    <w:rsid w:val="00CA2C5F"/>
    <w:rsid w:val="00CA339C"/>
    <w:rsid w:val="00CA343E"/>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5B3"/>
    <w:rsid w:val="00DE2FD4"/>
    <w:rsid w:val="00DE46F1"/>
    <w:rsid w:val="00DE4A47"/>
    <w:rsid w:val="00DE50D7"/>
    <w:rsid w:val="00DE57EA"/>
    <w:rsid w:val="00DE5A99"/>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979"/>
    <w:rsid w:val="00F26300"/>
    <w:rsid w:val="00F318BE"/>
    <w:rsid w:val="00F31BF6"/>
    <w:rsid w:val="00F32A7E"/>
    <w:rsid w:val="00F32D3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81AAB"/>
    <w:rsid w:val="00F82084"/>
    <w:rsid w:val="00F82FCD"/>
    <w:rsid w:val="00F83BE2"/>
    <w:rsid w:val="00F85FBC"/>
    <w:rsid w:val="00F8677A"/>
    <w:rsid w:val="00F90EC1"/>
    <w:rsid w:val="00F9278F"/>
    <w:rsid w:val="00F9305B"/>
    <w:rsid w:val="00F93BA1"/>
    <w:rsid w:val="00F943B2"/>
    <w:rsid w:val="00F953A1"/>
    <w:rsid w:val="00F968A5"/>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82A92AF2-CCD9-4DF2-B385-8A23A04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ndi.github.io/GRN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5696</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38093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4</cp:revision>
  <cp:lastPrinted>2016-05-16T20:13:00Z</cp:lastPrinted>
  <dcterms:created xsi:type="dcterms:W3CDTF">2016-05-18T20:14:00Z</dcterms:created>
  <dcterms:modified xsi:type="dcterms:W3CDTF">2016-05-18T20:24:00Z</dcterms:modified>
</cp:coreProperties>
</file>