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 of the code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Coverage (percent)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112/162 (69.1%)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59/68 (86.8%)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15/24 (62.5%)</w:t>
            </w:r>
          </w:p>
        </w:tc>
      </w:tr>
      <w:tr w:rsidR="000A6CB7" w:rsidTr="002D2C18"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</w:t>
            </w:r>
          </w:p>
        </w:tc>
        <w:tc>
          <w:tcPr>
            <w:tcW w:w="4788" w:type="dxa"/>
          </w:tcPr>
          <w:p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112/157 (71.3%)</w:t>
            </w:r>
          </w:p>
        </w:tc>
      </w:tr>
    </w:tbl>
    <w:p w:rsidR="00584D06" w:rsidRPr="000A6CB7" w:rsidRDefault="000A6CB7" w:rsidP="000A6CB7">
      <w:pPr>
        <w:spacing w:before="240" w:after="240" w:line="480" w:lineRule="auto"/>
        <w:rPr>
          <w:sz w:val="24"/>
          <w:szCs w:val="24"/>
        </w:rPr>
      </w:pPr>
      <w:r>
        <w:rPr>
          <w:sz w:val="24"/>
          <w:szCs w:val="24"/>
        </w:rPr>
        <w:t>Table 1: GRNsight test suite code coverage summary. Denominators represent the number of aspects of each type detected by Istanbul in the GRNsight codebase; numerators represent the subset of these which were executed by unit test code.</w:t>
      </w:r>
      <w:bookmarkStart w:id="0" w:name="_GoBack"/>
      <w:bookmarkEnd w:id="0"/>
    </w:p>
    <w:sectPr w:rsidR="00584D06" w:rsidRPr="000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BE"/>
    <w:rsid w:val="000A6CB7"/>
    <w:rsid w:val="00584D06"/>
    <w:rsid w:val="006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95115-5630-456A-B060-9F380CB5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LMU-ITS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Dahlquist, Kam D.</dc:creator>
  <cp:keywords/>
  <dc:description/>
  <cp:lastModifiedBy>Dahlquist, Kam D.</cp:lastModifiedBy>
  <cp:revision>2</cp:revision>
  <dcterms:created xsi:type="dcterms:W3CDTF">2016-05-18T20:21:00Z</dcterms:created>
  <dcterms:modified xsi:type="dcterms:W3CDTF">2016-05-18T20:23:00Z</dcterms:modified>
</cp:coreProperties>
</file>