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3D9E8715"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r w:rsidR="006B24CC">
        <w:rPr>
          <w:sz w:val="24"/>
          <w:szCs w:val="24"/>
          <w:highlight w:val="yellow"/>
        </w:rPr>
        <w:t xml:space="preserve">add link to repository;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06CAB89F" w:rsidR="000B7F94" w:rsidRDefault="000B7F94" w:rsidP="00966A48">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make </w:t>
      </w:r>
      <w:r w:rsidR="00D10AB4">
        <w:rPr>
          <w:sz w:val="24"/>
          <w:szCs w:val="24"/>
        </w:rPr>
        <w:t>our tool also 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5206C645"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 xml:space="preserve">Prlic and Procter; </w:t>
      </w:r>
      <w:r w:rsidRPr="00F23987">
        <w:rPr>
          <w:sz w:val="24"/>
          <w:szCs w:val="24"/>
        </w:rPr>
        <w:t>Wilson et al., 2014)</w:t>
      </w:r>
      <w:r w:rsidR="002139F4">
        <w:rPr>
          <w:sz w:val="24"/>
          <w:szCs w:val="24"/>
        </w:rPr>
        <w:t>.</w:t>
      </w:r>
    </w:p>
    <w:p w14:paraId="3884672F" w14:textId="4A3C6B9B"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980FBA">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6501F510"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F342E4" w:rsidRPr="00771E30">
        <w:rPr>
          <w:rFonts w:cs="Times New Roman"/>
          <w:sz w:val="24"/>
          <w:szCs w:val="24"/>
        </w:rPr>
        <w:t xml:space="preserve"> (.graphml, </w:t>
      </w:r>
      <w:r w:rsidR="00B17856" w:rsidRPr="00CC248D">
        <w:rPr>
          <w:rFonts w:cs="Times New Roman"/>
          <w:sz w:val="24"/>
          <w:szCs w:val="24"/>
          <w:highlight w:val="yellow"/>
        </w:rPr>
        <w:t>Brandes et al. 2001</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53275F">
        <w:rPr>
          <w:rFonts w:cs="Times New Roman"/>
          <w:sz w:val="24"/>
          <w:szCs w:val="24"/>
        </w:rPr>
        <w:t>the GRNsight documentation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60154423"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 xml:space="preserve">Server-side components are implemented with Node.js and the Express framework (Brown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512007A8"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20C1E161"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4A1B979C" w:rsidR="007052B5" w:rsidRPr="005E4D1B"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web site is free and open to all users, and there is no login requirement.  </w:t>
      </w:r>
      <w:r w:rsidRPr="00FA0331">
        <w:rPr>
          <w:sz w:val="24"/>
          <w:szCs w:val="24"/>
        </w:rPr>
        <w:t>Web 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77777777" w:rsidR="00FA0331" w:rsidRDefault="00FA0331" w:rsidP="00FA0331">
      <w:pPr>
        <w:pStyle w:val="ListParagraph"/>
        <w:numPr>
          <w:ilvl w:val="0"/>
          <w:numId w:val="6"/>
        </w:numPr>
        <w:spacing w:before="240" w:after="240" w:line="480" w:lineRule="auto"/>
        <w:rPr>
          <w:sz w:val="24"/>
          <w:szCs w:val="24"/>
        </w:rPr>
      </w:pPr>
      <w:r>
        <w:rPr>
          <w:sz w:val="24"/>
          <w:szCs w:val="24"/>
        </w:rPr>
        <w:t>It reads a weighted or unweighted adjacency matrix where the regulatory transcription factors are in columns and the target genes are in rows;</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3E9879C9"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3E30912D"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 1990, Miyake et al. 2004; CIN5 and SKN7:  Nie et al.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C564A3">
        <w:rPr>
          <w:sz w:val="24"/>
          <w:szCs w:val="24"/>
        </w:rPr>
        <w:t xml:space="preserve">  Because these genes have no imputs and, in some sense, have been artific</w:t>
      </w:r>
      <w:r w:rsidR="002C1819">
        <w:rPr>
          <w:sz w:val="24"/>
          <w:szCs w:val="24"/>
        </w:rPr>
        <w:t>i</w:t>
      </w:r>
      <w:r w:rsidR="00C564A3">
        <w:rPr>
          <w:sz w:val="24"/>
          <w:szCs w:val="24"/>
        </w:rPr>
        <w:t>ally disconnected from the larger GRN in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5B5790">
        <w:rPr>
          <w:sz w:val="24"/>
          <w:szCs w:val="24"/>
          <w:highlight w:val="yellow"/>
        </w:rPr>
        <w:t>Thus, GRNsight enables one to interpret the weight parameters more easily than one could from the adjacency matrix alone.</w:t>
      </w:r>
      <w:r w:rsidR="00F2557D" w:rsidRPr="005B5790">
        <w:rPr>
          <w:sz w:val="24"/>
          <w:szCs w:val="24"/>
        </w:rPr>
        <w:t xml:space="preserve">  </w:t>
      </w:r>
      <w:r w:rsidR="005B5790">
        <w:rPr>
          <w:sz w:val="24"/>
          <w:szCs w:val="24"/>
        </w:rPr>
        <w:t>Visual</w:t>
      </w:r>
      <w:r w:rsidR="005B5790" w:rsidRPr="005B5790">
        <w:rPr>
          <w:sz w:val="24"/>
          <w:szCs w:val="24"/>
        </w:rPr>
        <w:t xml:space="preserve"> inspection has long been recognized by experts 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w:t>
      </w:r>
      <w:r w:rsidR="002C1819">
        <w:rPr>
          <w:sz w:val="24"/>
          <w:szCs w:val="24"/>
        </w:rPr>
        <w:t xml:space="preserve">numeric, </w:t>
      </w:r>
      <w:r w:rsidR="005B5790" w:rsidRPr="005B5790">
        <w:rPr>
          <w:sz w:val="24"/>
          <w:szCs w:val="24"/>
        </w:rPr>
        <w:t>computational</w:t>
      </w:r>
      <w:r w:rsidR="002C1819">
        <w:rPr>
          <w:sz w:val="24"/>
          <w:szCs w:val="24"/>
        </w:rPr>
        <w:t>,</w:t>
      </w:r>
      <w:r w:rsidR="005B5790" w:rsidRPr="005B5790">
        <w:rPr>
          <w:sz w:val="24"/>
          <w:szCs w:val="24"/>
        </w:rPr>
        <w:t xml:space="preserve">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7682B24E"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 xml:space="preserve">open development (Prlic and Procter 2012), </w:t>
      </w:r>
      <w:r w:rsidR="00773FE9" w:rsidRPr="00F23987">
        <w:rPr>
          <w:sz w:val="24"/>
          <w:szCs w:val="24"/>
        </w:rPr>
        <w:t xml:space="preserve">scientific computing </w:t>
      </w:r>
      <w:r w:rsidR="000B4703">
        <w:rPr>
          <w:sz w:val="24"/>
          <w:szCs w:val="24"/>
        </w:rPr>
        <w:t xml:space="preserve">(Wilson et al. </w:t>
      </w:r>
      <w:r w:rsidR="00773FE9" w:rsidRPr="00F23987">
        <w:rPr>
          <w:sz w:val="24"/>
          <w:szCs w:val="24"/>
        </w:rPr>
        <w:t>2014)</w:t>
      </w:r>
      <w:r w:rsidR="000B4703">
        <w:rPr>
          <w:sz w:val="24"/>
          <w:szCs w:val="24"/>
        </w:rPr>
        <w:t xml:space="preserve">, </w:t>
      </w:r>
      <w:r w:rsidR="00773FE9" w:rsidRPr="00F23987">
        <w:rPr>
          <w:sz w:val="24"/>
          <w:szCs w:val="24"/>
        </w:rPr>
        <w:t xml:space="preserve">for 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69012E71"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Pr>
          <w:sz w:val="24"/>
          <w:szCs w:val="24"/>
        </w:rPr>
        <w:t xml:space="preserve">“release early and often” 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Procter (2012), open development </w:t>
      </w:r>
      <w:r>
        <w:rPr>
          <w:sz w:val="24"/>
          <w:szCs w:val="24"/>
        </w:rPr>
        <w:lastRenderedPageBreak/>
        <w:t xml:space="preserve">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complies with all twelve requirements, including web address available (using the github.io domain to host the web site and Amazon Cloud Services to host the server help to ensure long-term availability), version information available, hosting country and institution determined, last updated date and contact information available, high usability, registration not required, download not required, example data available, fair testing possibility (both with demonstration Excel workbooks and standard SIF and GraphML filetypes), and the service is functional.</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69A8EBA3"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t>Findable</w:t>
      </w:r>
    </w:p>
    <w:p w14:paraId="32A378BC" w14:textId="79ABADB2"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w:t>
      </w:r>
      <w:r w:rsidR="00BD5061">
        <w:rPr>
          <w:sz w:val="24"/>
          <w:szCs w:val="24"/>
          <w:highlight w:val="yellow"/>
        </w:rPr>
        <w:t>et al. 2016a; 2016b)</w:t>
      </w:r>
      <w:r w:rsidR="00F96A87">
        <w:rPr>
          <w:sz w:val="24"/>
          <w:szCs w:val="24"/>
        </w:rPr>
        <w:t xml:space="preserve">.  We have paid special care to the metadata associated with our web site to increase its Findability via Google search.  And of course, with the publication of this article, GRNsight is Findable in literature databases.  </w:t>
      </w:r>
      <w:r w:rsidR="008E474E">
        <w:rPr>
          <w:sz w:val="24"/>
          <w:szCs w:val="24"/>
        </w:rPr>
        <w:t>Besides this everday sense of the word “findable</w:t>
      </w:r>
      <w:r w:rsidR="008E3FF1">
        <w:rPr>
          <w:sz w:val="24"/>
          <w:szCs w:val="24"/>
        </w:rPr>
        <w:t>,</w:t>
      </w:r>
      <w:r w:rsidR="008E474E">
        <w:rPr>
          <w:sz w:val="24"/>
          <w:szCs w:val="24"/>
        </w:rPr>
        <w:t>” t</w:t>
      </w:r>
      <w:r w:rsidR="004E6D20">
        <w:rPr>
          <w:sz w:val="24"/>
          <w:szCs w:val="24"/>
        </w:rPr>
        <w:t>he Findable guiding principle states that metadata and data should have a globally unique and persistent identifier</w:t>
      </w:r>
      <w:r w:rsidR="00C64FF8">
        <w:rPr>
          <w:sz w:val="24"/>
          <w:szCs w:val="24"/>
        </w:rPr>
        <w:t>, registered or indexed in a searchable resource</w:t>
      </w:r>
      <w:r w:rsidR="004E6D20">
        <w:rPr>
          <w:sz w:val="24"/>
          <w:szCs w:val="24"/>
        </w:rPr>
        <w:t xml:space="preserve"> </w:t>
      </w:r>
      <w:r w:rsidR="004E6D20" w:rsidRPr="001E1DC9">
        <w:rPr>
          <w:sz w:val="24"/>
          <w:szCs w:val="24"/>
          <w:highlight w:val="yellow"/>
        </w:rPr>
        <w:t>(Wilkinson et al. 2016)</w:t>
      </w:r>
      <w:r w:rsidR="004E6D20">
        <w:rPr>
          <w:sz w:val="24"/>
          <w:szCs w:val="24"/>
        </w:rPr>
        <w:t xml:space="preserve">.  In terms of software, this would be the version.  Because we utilize the GitHub release mechanism, </w:t>
      </w:r>
      <w:r w:rsidR="004E6D20">
        <w:rPr>
          <w:sz w:val="24"/>
          <w:szCs w:val="24"/>
        </w:rPr>
        <w:lastRenderedPageBreak/>
        <w:t>code is tagged with a version and each version is available from the release page (</w:t>
      </w:r>
      <w:r w:rsidR="004E6D20" w:rsidRPr="00554CFE">
        <w:rPr>
          <w:i/>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w:t>
      </w:r>
      <w:r w:rsidR="00DD15E8">
        <w:rPr>
          <w:sz w:val="24"/>
          <w:szCs w:val="24"/>
        </w:rPr>
        <w:t xml:space="preserve"> and the specificity of our requirements for GRNsight and its functionality, publicly describing both what we mean it to be and what we do </w:t>
      </w:r>
      <w:r w:rsidR="00DD15E8">
        <w:rPr>
          <w:i/>
          <w:sz w:val="24"/>
          <w:szCs w:val="24"/>
        </w:rPr>
        <w:t>not</w:t>
      </w:r>
      <w:r w:rsidR="00DD15E8">
        <w:rPr>
          <w:sz w:val="24"/>
          <w:szCs w:val="24"/>
        </w:rPr>
        <w:t xml:space="preserve"> mean it to be</w:t>
      </w:r>
      <w:r w:rsidR="002E1EB9">
        <w:rPr>
          <w:sz w:val="24"/>
          <w:szCs w:val="24"/>
        </w:rPr>
        <w:t>,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39E1E7C7"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lastRenderedPageBreak/>
        <w:t>Interoperable</w:t>
      </w:r>
    </w:p>
    <w:p w14:paraId="48082BB3" w14:textId="3B195DE3"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t xml:space="preserve">Cytoscape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1E1DC9">
        <w:rPr>
          <w:sz w:val="24"/>
          <w:szCs w:val="24"/>
          <w:highlight w:val="yellow"/>
        </w:rPr>
        <w:t xml:space="preserve">Brandes, U., Eiglsperger, M., Herman, I., Himsolt, M., &amp; Marshall, M. S. (2001, September). GraphML progress report structural layer proposal. In </w:t>
      </w:r>
      <w:r w:rsidR="00F914D1" w:rsidRPr="001E1DC9">
        <w:rPr>
          <w:i/>
          <w:iCs/>
          <w:sz w:val="24"/>
          <w:szCs w:val="24"/>
          <w:highlight w:val="yellow"/>
        </w:rPr>
        <w:t>International Symposium on Graph Drawing</w:t>
      </w:r>
      <w:r w:rsidR="00F914D1" w:rsidRPr="001E1DC9">
        <w:rPr>
          <w:sz w:val="24"/>
          <w:szCs w:val="24"/>
          <w:highlight w:val="yellow"/>
        </w:rPr>
        <w:t xml:space="preserve"> (pp. 501-512).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w:t>
      </w:r>
    </w:p>
    <w:p w14:paraId="534C5B82" w14:textId="27264592"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w:t>
      </w:r>
      <w:r>
        <w:rPr>
          <w:sz w:val="24"/>
          <w:szCs w:val="24"/>
        </w:rPr>
        <w:lastRenderedPageBreak/>
        <w:t>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only a list of suggestions in the Cytoscape documentation, from which we selected “pd”</w:t>
      </w:r>
      <w:r w:rsidR="00B85D97">
        <w:rPr>
          <w:sz w:val="24"/>
          <w:szCs w:val="24"/>
        </w:rPr>
        <w:t>.</w:t>
      </w:r>
      <w:r w:rsidR="00762685">
        <w:rPr>
          <w:sz w:val="24"/>
          <w:szCs w:val="24"/>
        </w:rPr>
        <w:t xml:space="preserve">  In practice, Cytoscape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r w:rsidRPr="00762685">
        <w:rPr>
          <w:sz w:val="24"/>
          <w:szCs w:val="24"/>
        </w:rPr>
        <w:t>GraphML has an entry in the biosharing.org registry of standards</w:t>
      </w:r>
      <w:r w:rsidR="00762685" w:rsidRPr="00762685">
        <w:rPr>
          <w:sz w:val="24"/>
          <w:szCs w:val="24"/>
        </w:rPr>
        <w:t xml:space="preserve"> </w:t>
      </w:r>
      <w:r w:rsidR="00762685"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but as of this writing is an unclaimed, automatically-generated</w:t>
      </w:r>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w:t>
      </w:r>
      <w:r>
        <w:rPr>
          <w:sz w:val="24"/>
          <w:szCs w:val="24"/>
        </w:rPr>
        <w:lastRenderedPageBreak/>
        <w:t>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allows for variety of solutions for encoding information.  We made sure that we could read yED and Cytoscape-exported GraphML and that GRNsight-exported GraphML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2282252" w:rsidR="00212AC2" w:rsidRDefault="00212AC2" w:rsidP="0035626F">
      <w:pPr>
        <w:spacing w:before="240" w:after="240" w:line="480" w:lineRule="auto"/>
        <w:ind w:firstLine="720"/>
        <w:rPr>
          <w:sz w:val="24"/>
          <w:szCs w:val="24"/>
        </w:rPr>
      </w:pPr>
      <w:r>
        <w:rPr>
          <w:sz w:val="24"/>
          <w:szCs w:val="24"/>
        </w:rPr>
        <w:t>Finally, GRNsight is reusable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GraphML format is capable of storing metadata, but the limitations described above in terms of a lack of controlled vocabulary 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w:t>
      </w:r>
      <w:r w:rsidR="005E4193">
        <w:rPr>
          <w:sz w:val="24"/>
          <w:szCs w:val="24"/>
        </w:rPr>
        <w:t xml:space="preserve">that it exports </w:t>
      </w:r>
      <w:r w:rsidR="0085209A">
        <w:rPr>
          <w:sz w:val="24"/>
          <w:szCs w:val="24"/>
        </w:rPr>
        <w:t>recording what version of GRNsight exported the data.</w:t>
      </w:r>
    </w:p>
    <w:p w14:paraId="342659A4" w14:textId="1503BD36" w:rsidR="0085209A" w:rsidRDefault="0085209A" w:rsidP="0035626F">
      <w:pPr>
        <w:spacing w:before="240" w:after="240" w:line="480" w:lineRule="auto"/>
        <w:ind w:firstLine="720"/>
        <w:rPr>
          <w:sz w:val="24"/>
          <w:szCs w:val="24"/>
        </w:rPr>
      </w:pPr>
      <w:r>
        <w:rPr>
          <w:sz w:val="24"/>
          <w:szCs w:val="24"/>
        </w:rPr>
        <w:t>FAIR Guiding Principles have only recently been published</w:t>
      </w:r>
      <w:r w:rsidR="005E4193">
        <w:rPr>
          <w:sz w:val="24"/>
          <w:szCs w:val="24"/>
        </w:rPr>
        <w:t xml:space="preserve">; </w:t>
      </w:r>
      <w:r>
        <w:rPr>
          <w:sz w:val="24"/>
          <w:szCs w:val="24"/>
        </w:rPr>
        <w:t>this may be the first discussion of how to explicit</w:t>
      </w:r>
      <w:r w:rsidR="005E4193">
        <w:rPr>
          <w:sz w:val="24"/>
          <w:szCs w:val="24"/>
        </w:rPr>
        <w:t>l</w:t>
      </w:r>
      <w:r>
        <w:rPr>
          <w:sz w:val="24"/>
          <w:szCs w:val="24"/>
        </w:rPr>
        <w:t xml:space="preserve">y apply them to software.  </w:t>
      </w:r>
      <w:r w:rsidR="005E4193">
        <w:rPr>
          <w:sz w:val="24"/>
          <w:szCs w:val="24"/>
        </w:rPr>
        <w:t xml:space="preserve">Although </w:t>
      </w:r>
      <w:r>
        <w:rPr>
          <w:sz w:val="24"/>
          <w:szCs w:val="24"/>
        </w:rPr>
        <w:t>GRNsight has limitations listed above, we have done as much as we can to achieve FAIRness at this time.</w:t>
      </w:r>
      <w:bookmarkStart w:id="0" w:name="_GoBack"/>
      <w:bookmarkEnd w:id="0"/>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w:t>
      </w:r>
      <w:r w:rsidRPr="00F23987">
        <w:rPr>
          <w:sz w:val="24"/>
          <w:szCs w:val="24"/>
        </w:rPr>
        <w:lastRenderedPageBreak/>
        <w:t xml:space="preserve">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w:t>
      </w:r>
      <w:r w:rsidRPr="00F23987">
        <w:rPr>
          <w:rFonts w:cs="Times New Roman"/>
          <w:sz w:val="24"/>
          <w:szCs w:val="24"/>
        </w:rPr>
        <w:lastRenderedPageBreak/>
        <w:t xml:space="preserve">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J):1637 (slides) (doi: </w:t>
      </w:r>
      <w:hyperlink r:id="rId8" w:tgtFrame="_blank" w:history="1">
        <w:r w:rsidRPr="00322BF8">
          <w:rPr>
            <w:rStyle w:val="Hyperlink"/>
            <w:sz w:val="24"/>
            <w:szCs w:val="24"/>
            <w:highlight w:val="yellow"/>
          </w:rPr>
          <w:t>10.7490/f1000research.1112534.1</w:t>
        </w:r>
      </w:hyperlink>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J):1618 (poster) (doi: </w:t>
      </w:r>
      <w:hyperlink r:id="rId9" w:tgtFrame="_blank" w:history="1">
        <w:r w:rsidRPr="00322BF8">
          <w:rPr>
            <w:rStyle w:val="Hyperlink"/>
            <w:sz w:val="24"/>
            <w:szCs w:val="24"/>
            <w:highlight w:val="yellow"/>
          </w:rPr>
          <w:t>10.7490/f1000research.1112518.1</w:t>
        </w:r>
      </w:hyperlink>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lastRenderedPageBreak/>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w:t>
      </w:r>
      <w:r>
        <w:rPr>
          <w:rFonts w:cs="Times New Roman"/>
          <w:sz w:val="24"/>
          <w:szCs w:val="24"/>
        </w:rPr>
        <w:lastRenderedPageBreak/>
        <w:t xml:space="preserve">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10"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1"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B2752" w14:textId="77777777" w:rsidR="00D4518C" w:rsidRDefault="00D4518C" w:rsidP="00C60395">
      <w:r>
        <w:separator/>
      </w:r>
    </w:p>
  </w:endnote>
  <w:endnote w:type="continuationSeparator" w:id="0">
    <w:p w14:paraId="603BE5B4" w14:textId="77777777" w:rsidR="00D4518C" w:rsidRDefault="00D4518C"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4D7A4E">
          <w:rPr>
            <w:noProof/>
          </w:rPr>
          <w:t>32</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E17C8" w14:textId="77777777" w:rsidR="00D4518C" w:rsidRDefault="00D4518C" w:rsidP="00C60395">
      <w:r>
        <w:separator/>
      </w:r>
    </w:p>
  </w:footnote>
  <w:footnote w:type="continuationSeparator" w:id="0">
    <w:p w14:paraId="3F6E3E3F" w14:textId="77777777" w:rsidR="00D4518C" w:rsidRDefault="00D4518C"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915"/>
    <w:rsid w:val="002B1C3A"/>
    <w:rsid w:val="002B21D3"/>
    <w:rsid w:val="002B2DCB"/>
    <w:rsid w:val="002B3E85"/>
    <w:rsid w:val="002B4377"/>
    <w:rsid w:val="002B55E7"/>
    <w:rsid w:val="002B60E3"/>
    <w:rsid w:val="002B6617"/>
    <w:rsid w:val="002C08EB"/>
    <w:rsid w:val="002C0B11"/>
    <w:rsid w:val="002C177C"/>
    <w:rsid w:val="002C1819"/>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49B0"/>
    <w:rsid w:val="00634FF9"/>
    <w:rsid w:val="0063560A"/>
    <w:rsid w:val="0063674F"/>
    <w:rsid w:val="00636DB1"/>
    <w:rsid w:val="00637660"/>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9080F"/>
    <w:rsid w:val="00691545"/>
    <w:rsid w:val="00692CDC"/>
    <w:rsid w:val="006937A1"/>
    <w:rsid w:val="00694AA3"/>
    <w:rsid w:val="00696411"/>
    <w:rsid w:val="00697944"/>
    <w:rsid w:val="006A1C6A"/>
    <w:rsid w:val="006A1D89"/>
    <w:rsid w:val="006A2B7F"/>
    <w:rsid w:val="006A3849"/>
    <w:rsid w:val="006A3B2F"/>
    <w:rsid w:val="006A3DD4"/>
    <w:rsid w:val="006A6361"/>
    <w:rsid w:val="006A6B4B"/>
    <w:rsid w:val="006B1A55"/>
    <w:rsid w:val="006B24CC"/>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3E8"/>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C20"/>
    <w:rsid w:val="00BD1BF2"/>
    <w:rsid w:val="00BD2B46"/>
    <w:rsid w:val="00BD3D0C"/>
    <w:rsid w:val="00BD5061"/>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B38"/>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0A1F"/>
    <w:rsid w:val="00E811F9"/>
    <w:rsid w:val="00E84842"/>
    <w:rsid w:val="00E849E5"/>
    <w:rsid w:val="00E85C57"/>
    <w:rsid w:val="00E85E28"/>
    <w:rsid w:val="00E86AF1"/>
    <w:rsid w:val="00E87369"/>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0-9613921-4-2" TargetMode="External"/><Relationship Id="rId5" Type="http://schemas.openxmlformats.org/officeDocument/2006/relationships/footnotes" Target="footnotes.xm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33</Pages>
  <Words>8880</Words>
  <Characters>50620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121</cp:revision>
  <cp:lastPrinted>2016-05-16T20:13:00Z</cp:lastPrinted>
  <dcterms:created xsi:type="dcterms:W3CDTF">2016-05-18T20:14:00Z</dcterms:created>
  <dcterms:modified xsi:type="dcterms:W3CDTF">2016-08-13T17:07:00Z</dcterms:modified>
</cp:coreProperties>
</file>