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3D9E8715"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r w:rsidR="006B24CC">
        <w:rPr>
          <w:sz w:val="24"/>
          <w:szCs w:val="24"/>
          <w:highlight w:val="yellow"/>
        </w:rPr>
        <w:t xml:space="preserve">add link to repository;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75F1EDE6"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 xml:space="preserve">Our third and fourth requirements specify datatypes.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allowing </w:t>
      </w:r>
      <w:r w:rsidR="00975055">
        <w:rPr>
          <w:sz w:val="24"/>
          <w:szCs w:val="24"/>
        </w:rPr>
        <w:lastRenderedPageBreak/>
        <w:t>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 xml:space="preserve">were </w:t>
      </w:r>
      <w:r w:rsidR="00975055">
        <w:rPr>
          <w:sz w:val="24"/>
          <w:szCs w:val="24"/>
        </w:rPr>
        <w:t>designed for visualization and analysis of much larger networks than the ones in which we were interested</w:t>
      </w:r>
      <w:r w:rsidR="00975055">
        <w:rPr>
          <w:sz w:val="24"/>
          <w:szCs w:val="24"/>
        </w:rPr>
        <w:t xml:space="preserve">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3BDBE8B6" w:rsidR="000B7F94" w:rsidRDefault="000B7F94" w:rsidP="00966A48">
      <w:pPr>
        <w:spacing w:before="240" w:after="240" w:line="480" w:lineRule="auto"/>
        <w:ind w:firstLine="720"/>
        <w:rPr>
          <w:sz w:val="24"/>
          <w:szCs w:val="24"/>
        </w:rPr>
      </w:pPr>
      <w:r>
        <w:rPr>
          <w:sz w:val="24"/>
          <w:szCs w:val="24"/>
        </w:rPr>
        <w:t xml:space="preserve">After this exploration, we decided to create our own software solution that we could exactly tailor to our specifications.  </w:t>
      </w:r>
      <w:r>
        <w:rPr>
          <w:sz w:val="24"/>
          <w:szCs w:val="24"/>
        </w:rPr>
        <w:t>Following the philosophy of “do one thing well” (</w:t>
      </w:r>
      <w:r w:rsidRPr="00275574">
        <w:rPr>
          <w:i/>
          <w:sz w:val="24"/>
          <w:szCs w:val="24"/>
        </w:rPr>
        <w:t>http://onethingwell.org/post/457050307/about-one-thing-well</w:t>
      </w:r>
      <w:r>
        <w:rPr>
          <w:sz w:val="24"/>
          <w:szCs w:val="24"/>
        </w:rPr>
        <w:t>), we w</w:t>
      </w:r>
      <w:r>
        <w:rPr>
          <w:sz w:val="24"/>
          <w:szCs w:val="24"/>
        </w:rPr>
        <w:t xml:space="preserve">anted to prioritize rendering </w:t>
      </w:r>
      <w:r>
        <w:rPr>
          <w:sz w:val="24"/>
          <w:szCs w:val="24"/>
        </w:rPr>
        <w:t>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make </w:t>
      </w:r>
      <w:r w:rsidR="00D10AB4">
        <w:rPr>
          <w:sz w:val="24"/>
          <w:szCs w:val="24"/>
        </w:rPr>
        <w:t>our tool also 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w:t>
      </w:r>
      <w:r>
        <w:rPr>
          <w:sz w:val="24"/>
          <w:szCs w:val="24"/>
        </w:rPr>
        <w:t xml:space="preserv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p>
    <w:p w14:paraId="6E7B3525" w14:textId="5206C645"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 xml:space="preserve">Prlic and Procter; </w:t>
      </w:r>
      <w:r w:rsidRPr="00F23987">
        <w:rPr>
          <w:sz w:val="24"/>
          <w:szCs w:val="24"/>
        </w:rPr>
        <w:t>Wilson et al., 2014)</w:t>
      </w:r>
      <w:r w:rsidR="002139F4">
        <w:rPr>
          <w:sz w:val="24"/>
          <w:szCs w:val="24"/>
        </w:rPr>
        <w:t>.</w:t>
      </w:r>
    </w:p>
    <w:p w14:paraId="3884672F" w14:textId="4A3C6B9B"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980FBA">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lastRenderedPageBreak/>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1CB95952"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F342E4" w:rsidRPr="00771E30">
        <w:rPr>
          <w:rFonts w:cs="Times New Roman"/>
          <w:sz w:val="24"/>
          <w:szCs w:val="24"/>
        </w:rPr>
        <w:t xml:space="preserve"> (.graphml, </w:t>
      </w:r>
      <w:r w:rsidR="00B17856" w:rsidRPr="00CC248D">
        <w:rPr>
          <w:rFonts w:cs="Times New Roman"/>
          <w:sz w:val="24"/>
          <w:szCs w:val="24"/>
          <w:highlight w:val="yellow"/>
        </w:rPr>
        <w:t>Brandes et al. 2001</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(See </w:t>
      </w:r>
      <w:r w:rsidR="0053275F">
        <w:rPr>
          <w:rFonts w:cs="Times New Roman"/>
          <w:sz w:val="24"/>
          <w:szCs w:val="24"/>
        </w:rPr>
        <w:t>the GRNsight documentation page for details of the implementation at</w:t>
      </w:r>
      <w:r w:rsidR="0053275F">
        <w:t xml:space="preserve"> </w:t>
      </w:r>
      <w:r w:rsidR="0053275F" w:rsidRPr="0053275F">
        <w:rPr>
          <w:rFonts w:cs="Times New Roman"/>
          <w:i/>
          <w:sz w:val="24"/>
          <w:szCs w:val="24"/>
        </w:rPr>
        <w:t>http://dondi.github.io/GRNsight/documentation.html</w:t>
      </w:r>
      <w:r w:rsidR="0053275F">
        <w:rPr>
          <w:rFonts w:cs="Times New Roman"/>
          <w:i/>
          <w:sz w:val="24"/>
          <w:szCs w:val="24"/>
        </w:rPr>
        <w:t>.</w:t>
      </w:r>
      <w:r w:rsidR="00C762CE" w:rsidRPr="00771E30">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 xml:space="preserve">and converts it into a </w:t>
      </w:r>
      <w:r w:rsidR="00FD7CCA">
        <w:rPr>
          <w:sz w:val="24"/>
          <w:szCs w:val="24"/>
        </w:rPr>
        <w:lastRenderedPageBreak/>
        <w:t>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 xml:space="preserve">Franz et al., 2016) is also an open source network </w:t>
      </w:r>
      <w:r w:rsidR="00AD676D" w:rsidRPr="00320DED">
        <w:rPr>
          <w:sz w:val="24"/>
          <w:szCs w:val="24"/>
        </w:rPr>
        <w:lastRenderedPageBreak/>
        <w:t>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w:t>
      </w:r>
      <w:r w:rsidR="0078020C" w:rsidRPr="0078020C">
        <w:rPr>
          <w:sz w:val="24"/>
          <w:szCs w:val="24"/>
        </w:rPr>
        <w:lastRenderedPageBreak/>
        <w:t xml:space="preserve">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t>
      </w:r>
      <w:r w:rsidR="00357C77">
        <w:rPr>
          <w:sz w:val="24"/>
          <w:szCs w:val="24"/>
        </w:rPr>
        <w:lastRenderedPageBreak/>
        <w:t>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61D346C4" w:rsidR="007052B5" w:rsidRPr="005E4D1B"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 xml:space="preserve">Web site content is available under the Creative Commons </w:t>
      </w:r>
      <w:r w:rsidRPr="00656478">
        <w:rPr>
          <w:sz w:val="24"/>
          <w:szCs w:val="24"/>
        </w:rPr>
        <w:lastRenderedPageBreak/>
        <w:t>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Uploaded data reside as temporary files and are deleted from the GRNsight server during standard operating system </w:t>
      </w:r>
      <w:bookmarkStart w:id="0" w:name="_GoBack"/>
      <w:bookmarkEnd w:id="0"/>
      <w:r w:rsidR="00C754BD" w:rsidRPr="00F23987">
        <w:rPr>
          <w:rFonts w:eastAsia="Times New Roman" w:cs="Times New Roman"/>
          <w:sz w:val="24"/>
          <w:szCs w:val="24"/>
        </w:rPr>
        <w:t>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w:t>
      </w:r>
      <w:r w:rsidR="005E4D1B" w:rsidRPr="005E4D1B">
        <w:rPr>
          <w:sz w:val="24"/>
          <w:szCs w:val="24"/>
        </w:rPr>
        <w:t>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lastRenderedPageBreak/>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w:t>
      </w:r>
      <w:r w:rsidRPr="00F23987">
        <w:rPr>
          <w:sz w:val="24"/>
          <w:szCs w:val="24"/>
        </w:rPr>
        <w:lastRenderedPageBreak/>
        <w:t xml:space="preserve">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w:t>
      </w:r>
      <w:r w:rsidR="00120E50" w:rsidRPr="001572B2">
        <w:rPr>
          <w:sz w:val="24"/>
          <w:szCs w:val="24"/>
        </w:rPr>
        <w:lastRenderedPageBreak/>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xml:space="preserve">, followed by MAC1-to-CUP9 and SKN7-to-NRG1 as the weakest of the repression relationships.  These rankings could have been obtained, of course, by </w:t>
      </w:r>
      <w:r w:rsidR="008D708E" w:rsidRPr="001572B2">
        <w:rPr>
          <w:sz w:val="24"/>
          <w:szCs w:val="24"/>
        </w:rPr>
        <w:lastRenderedPageBreak/>
        <w:t>sorting the numerical values of the edges in a table, but it is noteable that these groupings can also be picked out by eye and then put into the context of the other network connections</w:t>
      </w:r>
      <w:r w:rsidR="000F3ED7" w:rsidRPr="001572B2">
        <w:rPr>
          <w:sz w:val="24"/>
          <w:szCs w:val="24"/>
        </w:rPr>
        <w:t>.</w:t>
      </w:r>
      <w:r w:rsidR="000F3ED7">
        <w:rPr>
          <w:sz w:val="24"/>
          <w:szCs w:val="24"/>
        </w:rPr>
        <w:t xml:space="preserve">  </w:t>
      </w:r>
    </w:p>
    <w:p w14:paraId="6553AE1C" w14:textId="77777777"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F76A5A">
        <w:rPr>
          <w:sz w:val="24"/>
          <w:szCs w:val="24"/>
        </w:rPr>
        <w:t xml:space="preserve">  </w:t>
      </w:r>
    </w:p>
    <w:p w14:paraId="4596EC71" w14:textId="6611E215"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is that the 21-gene network could be divided into two smaller subnetworks by removing the two edges CUP9-to-YAP6 (grey) and ABF1-to-FHL1 (thin magenta, weakly activating).</w:t>
      </w:r>
      <w:r w:rsidRPr="00F76A5A">
        <w:rPr>
          <w:sz w:val="24"/>
          <w:szCs w:val="24"/>
        </w:rPr>
        <w:t xml:space="preserve">  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54786B" w:rsidRPr="00F76A5A">
        <w:rPr>
          <w:sz w:val="24"/>
          <w:szCs w:val="24"/>
        </w:rPr>
        <w:lastRenderedPageBreak/>
        <w:t xml:space="preserve">or </w:t>
      </w:r>
      <w:r w:rsidR="0054786B" w:rsidRPr="00F76A5A">
        <w:rPr>
          <w:i/>
          <w:sz w:val="24"/>
          <w:szCs w:val="24"/>
        </w:rPr>
        <w:t>S. cerevisiae</w:t>
      </w:r>
      <w:r w:rsidR="0054786B" w:rsidRPr="00F76A5A">
        <w:rPr>
          <w:sz w:val="24"/>
          <w:szCs w:val="24"/>
        </w:rPr>
        <w:t xml:space="preserve"> gene regulatory networks (Alon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1770E0B3" w:rsidR="00CA20D5" w:rsidRDefault="00326F36" w:rsidP="004D235E">
      <w:pPr>
        <w:spacing w:before="240" w:after="240" w:line="480" w:lineRule="auto"/>
        <w:ind w:firstLine="720"/>
        <w:rPr>
          <w:sz w:val="24"/>
          <w:szCs w:val="24"/>
        </w:rPr>
      </w:pPr>
      <w:r>
        <w:rPr>
          <w:sz w:val="24"/>
          <w:szCs w:val="24"/>
        </w:rPr>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w:t>
      </w:r>
      <w:r w:rsidR="00C564A3" w:rsidRPr="00C564A3">
        <w:rPr>
          <w:sz w:val="24"/>
          <w:szCs w:val="24"/>
        </w:rPr>
        <w:t xml:space="preserve">PHD1, ABF1, CIN5, and SKN7 also both activate and repress their different target genes in the network.  </w:t>
      </w:r>
      <w:r w:rsidR="00C564A3" w:rsidRPr="00C564A3">
        <w:rPr>
          <w:sz w:val="24"/>
          <w:szCs w:val="24"/>
        </w:rPr>
        <w:t>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 for these particular target gnees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 1990, Miyake et al. 2004; CIN5 and SKN7:  Nie et al.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C564A3">
        <w:rPr>
          <w:sz w:val="24"/>
          <w:szCs w:val="24"/>
        </w:rPr>
        <w:t xml:space="preserve">  Because these genes have no imputs and, in some sense, have been artifically disconnected from the larger GRN in the cell, one must not overinterpret the results of the modeling for these genes.</w:t>
      </w:r>
    </w:p>
    <w:p w14:paraId="49F9930D" w14:textId="10DF71E1" w:rsidR="00655BF8" w:rsidRPr="005B5790" w:rsidRDefault="00655BF8" w:rsidP="004D235E">
      <w:pPr>
        <w:spacing w:before="240" w:after="240" w:line="480" w:lineRule="auto"/>
        <w:ind w:firstLine="720"/>
        <w:rPr>
          <w:sz w:val="24"/>
          <w:szCs w:val="24"/>
        </w:rPr>
      </w:pPr>
      <w:r w:rsidRPr="005B5790">
        <w:rPr>
          <w:sz w:val="24"/>
          <w:szCs w:val="24"/>
          <w:highlight w:val="yellow"/>
        </w:rPr>
        <w:t>Thus, GRNsight enables one to interpret the weight parameters more easily than one could from the adjacency matrix alone.</w:t>
      </w:r>
      <w:r w:rsidR="00F2557D" w:rsidRPr="005B5790">
        <w:rPr>
          <w:sz w:val="24"/>
          <w:szCs w:val="24"/>
        </w:rPr>
        <w:t xml:space="preserve">  </w:t>
      </w:r>
      <w:r w:rsidR="005B5790">
        <w:rPr>
          <w:sz w:val="24"/>
          <w:szCs w:val="24"/>
        </w:rPr>
        <w:t>Visual</w:t>
      </w:r>
      <w:r w:rsidR="005B5790" w:rsidRPr="005B5790">
        <w:rPr>
          <w:sz w:val="24"/>
          <w:szCs w:val="24"/>
        </w:rPr>
        <w:t xml:space="preserve"> inspection has long been recognized by experts </w:t>
      </w:r>
      <w:r w:rsidR="005B5790" w:rsidRPr="005B5790">
        <w:rPr>
          <w:sz w:val="24"/>
          <w:szCs w:val="24"/>
        </w:rPr>
        <w:lastRenderedPageBreak/>
        <w:t xml:space="preserve">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computational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and demonstrates it best: “Graphics reveal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w:t>
      </w:r>
      <w:r w:rsidR="00716CDE" w:rsidRPr="00F23987">
        <w:rPr>
          <w:sz w:val="24"/>
          <w:szCs w:val="24"/>
        </w:rPr>
        <w:lastRenderedPageBreak/>
        <w:t>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4E58E33C" w14:textId="77777777" w:rsidR="007D73F1" w:rsidRDefault="007D73F1" w:rsidP="00AC2289">
      <w:pPr>
        <w:spacing w:before="240" w:after="240" w:line="480" w:lineRule="auto"/>
        <w:ind w:firstLine="720"/>
        <w:rPr>
          <w:sz w:val="24"/>
          <w:szCs w:val="24"/>
        </w:rPr>
      </w:pPr>
    </w:p>
    <w:p w14:paraId="288E5271" w14:textId="77777777" w:rsidR="007D73F1" w:rsidRPr="007B3545" w:rsidRDefault="007D73F1" w:rsidP="007D73F1">
      <w:pPr>
        <w:spacing w:before="240" w:after="240" w:line="480" w:lineRule="auto"/>
        <w:ind w:firstLine="720"/>
        <w:rPr>
          <w:sz w:val="24"/>
          <w:szCs w:val="24"/>
        </w:rPr>
      </w:pPr>
      <w:r>
        <w:rPr>
          <w:sz w:val="24"/>
          <w:szCs w:val="24"/>
        </w:rPr>
        <w:t xml:space="preserve">We also saw the creation of a new tool as an opportunity to serve as a model for best </w:t>
      </w:r>
      <w:r w:rsidRPr="00F23987">
        <w:rPr>
          <w:sz w:val="24"/>
          <w:szCs w:val="24"/>
        </w:rPr>
        <w:t>practices for software development in bioinformatics (Schultheiss, 2011; Wilson et al., 2014),</w:t>
      </w:r>
      <w:r>
        <w:rPr>
          <w:sz w:val="24"/>
          <w:szCs w:val="24"/>
        </w:rPr>
        <w:t xml:space="preserve"> simultaneously following and teaching these practices to the primary developers who were all undergraduates.  </w:t>
      </w:r>
    </w:p>
    <w:p w14:paraId="4B25E718" w14:textId="77777777" w:rsidR="007D73F1" w:rsidRDefault="007D73F1" w:rsidP="00AC2289">
      <w:pPr>
        <w:spacing w:before="240" w:after="240" w:line="480" w:lineRule="auto"/>
        <w:ind w:firstLine="720"/>
        <w:rPr>
          <w:sz w:val="24"/>
          <w:szCs w:val="24"/>
        </w:rPr>
      </w:pPr>
    </w:p>
    <w:p w14:paraId="3CC08994" w14:textId="2BC26CE6" w:rsidR="00837D1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w:t>
      </w:r>
      <w:r w:rsidR="00951C20" w:rsidRPr="00F23987">
        <w:rPr>
          <w:sz w:val="24"/>
          <w:szCs w:val="24"/>
        </w:rPr>
        <w:lastRenderedPageBreak/>
        <w:t xml:space="preserve">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740FF865" w14:textId="4076802A"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t xml:space="preserve">GRNsight </w:t>
      </w:r>
      <w:r w:rsidR="00862042" w:rsidRPr="00862042">
        <w:rPr>
          <w:rFonts w:ascii="Times New Roman" w:hAnsi="Times New Roman" w:cs="Times New Roman"/>
          <w:color w:val="000000" w:themeColor="text1"/>
          <w:u w:val="single"/>
        </w:rPr>
        <w:t>Complies</w:t>
      </w:r>
      <w:r w:rsidR="00862042">
        <w:rPr>
          <w:rFonts w:ascii="Times New Roman" w:hAnsi="Times New Roman" w:cs="Times New Roman"/>
          <w:color w:val="000000" w:themeColor="text1"/>
        </w:rPr>
        <w:t xml:space="preserve"> with</w:t>
      </w:r>
      <w:r w:rsidRPr="00685533">
        <w:rPr>
          <w:rFonts w:ascii="Times New Roman" w:hAnsi="Times New Roman" w:cs="Times New Roman"/>
          <w:color w:val="000000" w:themeColor="text1"/>
        </w:rPr>
        <w:t xml:space="preserve"> FAIR </w:t>
      </w:r>
      <w:r w:rsidR="00862042">
        <w:rPr>
          <w:rFonts w:ascii="Times New Roman" w:hAnsi="Times New Roman" w:cs="Times New Roman"/>
          <w:color w:val="000000" w:themeColor="text1"/>
        </w:rPr>
        <w:t xml:space="preserve">Data </w:t>
      </w:r>
      <w:r w:rsidRPr="00685533">
        <w:rPr>
          <w:rFonts w:ascii="Times New Roman" w:hAnsi="Times New Roman" w:cs="Times New Roman"/>
          <w:color w:val="000000" w:themeColor="text1"/>
        </w:rPr>
        <w:t>Principles</w:t>
      </w:r>
      <w:r w:rsidR="00862042">
        <w:rPr>
          <w:rFonts w:ascii="Times New Roman" w:hAnsi="Times New Roman" w:cs="Times New Roman"/>
          <w:color w:val="000000" w:themeColor="text1"/>
        </w:rPr>
        <w:t xml:space="preserve"> [need better verb]</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xml:space="preserve">, including </w:t>
      </w:r>
      <w:r w:rsidR="006B3BAB">
        <w:rPr>
          <w:sz w:val="24"/>
          <w:szCs w:val="24"/>
        </w:rPr>
        <w:lastRenderedPageBreak/>
        <w:t>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 xml:space="preserve">Thus, we evaluate the GRNsight project in terms of its “FAIRness”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t>Findable</w:t>
      </w:r>
    </w:p>
    <w:p w14:paraId="32A378BC" w14:textId="53B9D9E8"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Pr="00322BF8">
        <w:rPr>
          <w:sz w:val="24"/>
          <w:szCs w:val="24"/>
          <w:highlight w:val="yellow"/>
        </w:rPr>
        <w:t xml:space="preserve">, </w:t>
      </w:r>
      <w:r w:rsidR="00212AC2" w:rsidRPr="00322BF8">
        <w:rPr>
          <w:sz w:val="24"/>
          <w:szCs w:val="24"/>
          <w:highlight w:val="yellow"/>
        </w:rPr>
        <w:t>http://biojs.io/)</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Pr="00322BF8">
        <w:rPr>
          <w:sz w:val="24"/>
          <w:szCs w:val="24"/>
          <w:highlight w:val="yellow"/>
        </w:rPr>
        <w:t xml:space="preserve">, </w:t>
      </w:r>
      <w:r w:rsidR="00212AC2" w:rsidRPr="00322BF8">
        <w:rPr>
          <w:sz w:val="24"/>
          <w:szCs w:val="24"/>
          <w:highlight w:val="yellow"/>
        </w:rPr>
        <w:t>https://bio.tools/)</w:t>
      </w:r>
      <w:r w:rsidR="00212AC2">
        <w:rPr>
          <w:sz w:val="24"/>
          <w:szCs w:val="24"/>
        </w:rPr>
        <w:t xml:space="preserve">, Bioinformatics.org </w:t>
      </w:r>
      <w:r w:rsidR="00212AC2" w:rsidRPr="00322BF8">
        <w:rPr>
          <w:sz w:val="24"/>
          <w:szCs w:val="24"/>
          <w:highlight w:val="yellow"/>
        </w:rPr>
        <w:t>(http://www.bioinformatics.org/wiki/)</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Pr>
          <w:sz w:val="24"/>
          <w:szCs w:val="24"/>
        </w:rPr>
        <w:t xml:space="preserve">, </w:t>
      </w:r>
      <w:r w:rsidR="00212AC2" w:rsidRPr="00FB53A7">
        <w:rPr>
          <w:sz w:val="24"/>
          <w:szCs w:val="24"/>
        </w:rPr>
        <w:t>https://bioinformatics.ca/links_directory/</w:t>
      </w:r>
      <w:r w:rsidR="00212AC2">
        <w:rPr>
          <w:sz w:val="24"/>
          <w:szCs w:val="24"/>
        </w:rPr>
        <w:t>)</w:t>
      </w:r>
      <w:r w:rsidR="00C3575F">
        <w:rPr>
          <w:sz w:val="24"/>
          <w:szCs w:val="24"/>
        </w:rPr>
        <w:t xml:space="preserve">, as well as NPM (Node Package Manager, </w:t>
      </w:r>
      <w:r w:rsidR="00C3575F" w:rsidRPr="00C3575F">
        <w:rPr>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F96A87">
        <w:rPr>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Comm J):1637 (slides) (doi: </w:t>
      </w:r>
      <w:hyperlink r:id="rId8" w:tgtFrame="_blank" w:history="1">
        <w:r w:rsidR="00F96A87" w:rsidRPr="00322BF8">
          <w:rPr>
            <w:rStyle w:val="Hyperlink"/>
            <w:sz w:val="24"/>
            <w:szCs w:val="24"/>
            <w:highlight w:val="yellow"/>
          </w:rPr>
          <w:t>10.7490/f1000research.1112534.1</w:t>
        </w:r>
      </w:hyperlink>
      <w:r w:rsidR="00F96A87" w:rsidRPr="00322BF8">
        <w:rPr>
          <w:sz w:val="24"/>
          <w:szCs w:val="24"/>
          <w:highlight w:val="yellow"/>
        </w:rPr>
        <w:t xml:space="preserve"> and 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Comm J):1618 (poster) (doi: </w:t>
      </w:r>
      <w:hyperlink r:id="rId9" w:tgtFrame="_blank" w:history="1">
        <w:r w:rsidR="00F96A87" w:rsidRPr="00322BF8">
          <w:rPr>
            <w:rStyle w:val="Hyperlink"/>
            <w:sz w:val="24"/>
            <w:szCs w:val="24"/>
            <w:highlight w:val="yellow"/>
          </w:rPr>
          <w:t>10.7490/f1000research.1112518.1</w:t>
        </w:r>
      </w:hyperlink>
      <w:r w:rsidR="00F96A87" w:rsidRPr="00322BF8">
        <w:rPr>
          <w:sz w:val="24"/>
          <w:szCs w:val="24"/>
          <w:highlight w:val="yellow"/>
        </w:rPr>
        <w:t>))</w:t>
      </w:r>
      <w:r w:rsidR="00F96A87">
        <w:rPr>
          <w:sz w:val="24"/>
          <w:szCs w:val="24"/>
        </w:rPr>
        <w:t xml:space="preserve">.  We have paid special care to the meta data associated with our web site to increase its Findability via Google search.  And of course, with the publication of this article, GRNsight is Findable in literature databases.  With the inclusion of the site and repository URL in the abstract, the code is findable </w:t>
      </w:r>
      <w:r w:rsidR="00F96A87">
        <w:rPr>
          <w:sz w:val="24"/>
          <w:szCs w:val="24"/>
        </w:rPr>
        <w:lastRenderedPageBreak/>
        <w:t xml:space="preserve">by automated text mining </w:t>
      </w:r>
      <w:r w:rsidR="00F96A87" w:rsidRPr="001E1DC9">
        <w:rPr>
          <w:sz w:val="24"/>
          <w:szCs w:val="24"/>
          <w:highlight w:val="yellow"/>
        </w:rPr>
        <w:t>[ref]</w:t>
      </w:r>
      <w:r w:rsidR="00F96A87">
        <w:rPr>
          <w:sz w:val="24"/>
          <w:szCs w:val="24"/>
        </w:rPr>
        <w:t>.</w:t>
      </w:r>
      <w:r w:rsidR="004E6D20">
        <w:rPr>
          <w:sz w:val="24"/>
          <w:szCs w:val="24"/>
        </w:rPr>
        <w:t xml:space="preserve">  The Findable guiding principle states that meta data and data should have a globally unique and persistent identifier </w:t>
      </w:r>
      <w:r w:rsidR="004E6D20" w:rsidRPr="001E1DC9">
        <w:rPr>
          <w:sz w:val="24"/>
          <w:szCs w:val="24"/>
          <w:highlight w:val="yellow"/>
        </w:rPr>
        <w:t>(Wilkinson et al. 2016)</w:t>
      </w:r>
      <w:r w:rsidR="004E6D20">
        <w:rPr>
          <w:sz w:val="24"/>
          <w:szCs w:val="24"/>
        </w:rPr>
        <w:t>.  In terms of software, this would be the version.  Because we utilize the GitHub release mechanism, code is tagged with a version and each version is available from the release page (</w:t>
      </w:r>
      <w:r w:rsidR="004E6D20" w:rsidRPr="004E6D20">
        <w:rPr>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up).  The longevity of GRNsight is 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 xml:space="preserve">data be uploaded to our GRNsight server.  </w:t>
      </w:r>
      <w:r w:rsidR="00340377">
        <w:rPr>
          <w:sz w:val="24"/>
          <w:szCs w:val="24"/>
        </w:rPr>
        <w:lastRenderedPageBreak/>
        <w:t>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t>Interoperable</w:t>
      </w:r>
    </w:p>
    <w:p w14:paraId="48082BB3" w14:textId="4922D48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t xml:space="preserve">Cytoscape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1E1DC9">
        <w:rPr>
          <w:sz w:val="24"/>
          <w:szCs w:val="24"/>
          <w:highlight w:val="yellow"/>
        </w:rPr>
        <w:t xml:space="preserve">Brandes, U., Eiglsperger, M., Herman, I., Himsolt, M., &amp; Marshall, M. S. (2001, September). GraphML progress report structural layer proposal. In </w:t>
      </w:r>
      <w:r w:rsidR="00F914D1" w:rsidRPr="001E1DC9">
        <w:rPr>
          <w:i/>
          <w:iCs/>
          <w:sz w:val="24"/>
          <w:szCs w:val="24"/>
          <w:highlight w:val="yellow"/>
        </w:rPr>
        <w:t>International Symposium on Graph Drawing</w:t>
      </w:r>
      <w:r w:rsidR="00F914D1" w:rsidRPr="001E1DC9">
        <w:rPr>
          <w:sz w:val="24"/>
          <w:szCs w:val="24"/>
          <w:highlight w:val="yellow"/>
        </w:rPr>
        <w:t xml:space="preserve"> (pp. 501-512).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 xml:space="preserve">.  </w:t>
      </w:r>
    </w:p>
    <w:p w14:paraId="534C5B82" w14:textId="4081C663" w:rsidR="00B85D97" w:rsidRDefault="00711CB0" w:rsidP="0055169C">
      <w:pPr>
        <w:spacing w:before="240" w:after="240" w:line="480" w:lineRule="auto"/>
        <w:ind w:firstLine="720"/>
        <w:rPr>
          <w:sz w:val="24"/>
          <w:szCs w:val="24"/>
        </w:rPr>
      </w:pPr>
      <w:r>
        <w:rPr>
          <w:sz w:val="24"/>
          <w:szCs w:val="24"/>
        </w:rPr>
        <w:lastRenderedPageBreak/>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only a list of suggestions in the Cytoscape documentation, from which we selected “pd”</w:t>
      </w:r>
      <w:r w:rsidR="00B85D97">
        <w:rPr>
          <w:sz w:val="24"/>
          <w:szCs w:val="24"/>
        </w:rPr>
        <w:t>.</w:t>
      </w:r>
      <w:r w:rsidR="00762685">
        <w:rPr>
          <w:sz w:val="24"/>
          <w:szCs w:val="24"/>
        </w:rPr>
        <w:t xml:space="preserve">  In practice, Cytoscape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r w:rsidRPr="00762685">
        <w:rPr>
          <w:sz w:val="24"/>
          <w:szCs w:val="24"/>
        </w:rPr>
        <w:t>GraphML has an entry in the biosharing.org registry of standards</w:t>
      </w:r>
      <w:r w:rsidR="00762685" w:rsidRPr="00762685">
        <w:rPr>
          <w:sz w:val="24"/>
          <w:szCs w:val="24"/>
        </w:rPr>
        <w:t xml:space="preserve"> </w:t>
      </w:r>
      <w:r w:rsidR="00762685"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but as of this writing is an unclaimed, automatically-generated</w:t>
      </w:r>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w:t>
      </w:r>
      <w:r>
        <w:rPr>
          <w:sz w:val="24"/>
          <w:szCs w:val="24"/>
        </w:rPr>
        <w:lastRenderedPageBreak/>
        <w:t>node label.  In two implementations of GraphML import/export that we tested with Cytoscape and yED,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allows for variety of solutions for encoding information.  We made sure that we could read yED and Cytoscape-exported GraphML and that GRNsight-exported GraphML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E49C74A" w:rsidR="00212AC2" w:rsidRDefault="00212AC2" w:rsidP="0035626F">
      <w:pPr>
        <w:spacing w:before="240" w:after="240" w:line="480" w:lineRule="auto"/>
        <w:ind w:firstLine="720"/>
        <w:rPr>
          <w:sz w:val="24"/>
          <w:szCs w:val="24"/>
        </w:rPr>
      </w:pPr>
      <w:r>
        <w:rPr>
          <w:sz w:val="24"/>
          <w:szCs w:val="24"/>
        </w:rPr>
        <w:t>Finally, GRNsight is reusable because the code is avaialable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GraphML format is capable of storing metadata, but the limitations described above in terms of a lack of controlled vocabulary fail the Reusability test as well.  In terms of provenance, we have injected a comment into the GraphML recording what version of GRNsight exported the data.</w:t>
      </w:r>
    </w:p>
    <w:p w14:paraId="342659A4" w14:textId="40518579" w:rsidR="0085209A" w:rsidRDefault="0085209A" w:rsidP="0035626F">
      <w:pPr>
        <w:spacing w:before="240" w:after="240" w:line="480" w:lineRule="auto"/>
        <w:ind w:firstLine="720"/>
        <w:rPr>
          <w:sz w:val="24"/>
          <w:szCs w:val="24"/>
        </w:rPr>
      </w:pPr>
      <w:r>
        <w:rPr>
          <w:sz w:val="24"/>
          <w:szCs w:val="24"/>
        </w:rPr>
        <w:t>FAIR Guiding Principles have only recently been published, this may be the first discussion of how to explicity apply them to software.  While GRNsight has 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w:t>
      </w:r>
      <w:r>
        <w:rPr>
          <w:rFonts w:cs="Times New Roman"/>
          <w:sz w:val="24"/>
          <w:szCs w:val="24"/>
        </w:rPr>
        <w:lastRenderedPageBreak/>
        <w:t xml:space="preserve">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w:t>
      </w:r>
      <w:r>
        <w:rPr>
          <w:rFonts w:cs="Times New Roman"/>
          <w:sz w:val="24"/>
          <w:szCs w:val="24"/>
        </w:rPr>
        <w:lastRenderedPageBreak/>
        <w:t xml:space="preserve">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 xml:space="preserve">Nucleic Acids </w:t>
      </w:r>
      <w:r>
        <w:rPr>
          <w:rFonts w:cs="Times New Roman"/>
          <w:i/>
          <w:iCs/>
          <w:sz w:val="24"/>
          <w:szCs w:val="24"/>
        </w:rPr>
        <w:lastRenderedPageBreak/>
        <w:t>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10"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1"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12504" w14:textId="77777777" w:rsidR="000D6EFD" w:rsidRDefault="000D6EFD" w:rsidP="00C60395">
      <w:r>
        <w:separator/>
      </w:r>
    </w:p>
  </w:endnote>
  <w:endnote w:type="continuationSeparator" w:id="0">
    <w:p w14:paraId="3E92EA29" w14:textId="77777777" w:rsidR="000D6EFD" w:rsidRDefault="000D6EFD"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5E4D1B">
          <w:rPr>
            <w:noProof/>
          </w:rPr>
          <w:t>23</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8FC76" w14:textId="77777777" w:rsidR="000D6EFD" w:rsidRDefault="000D6EFD" w:rsidP="00C60395">
      <w:r>
        <w:separator/>
      </w:r>
    </w:p>
  </w:footnote>
  <w:footnote w:type="continuationSeparator" w:id="0">
    <w:p w14:paraId="236CCDBE" w14:textId="77777777" w:rsidR="000D6EFD" w:rsidRDefault="000D6EFD"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B7F94"/>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8B1"/>
    <w:rsid w:val="005E4C92"/>
    <w:rsid w:val="005E4D1B"/>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28FF"/>
    <w:rsid w:val="00622A7E"/>
    <w:rsid w:val="00622E10"/>
    <w:rsid w:val="00623B1D"/>
    <w:rsid w:val="00624BCF"/>
    <w:rsid w:val="0062512F"/>
    <w:rsid w:val="00631326"/>
    <w:rsid w:val="006349B0"/>
    <w:rsid w:val="0063560A"/>
    <w:rsid w:val="0063674F"/>
    <w:rsid w:val="00636DB1"/>
    <w:rsid w:val="00637660"/>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24CC"/>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24A6"/>
    <w:rsid w:val="00BC3494"/>
    <w:rsid w:val="00BC3711"/>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4A3"/>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0A1F"/>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72C1D5B9-31EF-4068-BB70-2F8E98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0-9613921-4-2" TargetMode="External"/><Relationship Id="rId5" Type="http://schemas.openxmlformats.org/officeDocument/2006/relationships/footnotes" Target="footnotes.xm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8554</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89</cp:revision>
  <cp:lastPrinted>2016-05-16T20:13:00Z</cp:lastPrinted>
  <dcterms:created xsi:type="dcterms:W3CDTF">2016-05-18T20:14:00Z</dcterms:created>
  <dcterms:modified xsi:type="dcterms:W3CDTF">2016-08-12T22:03:00Z</dcterms:modified>
</cp:coreProperties>
</file>