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3D9E8715"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w:t>
      </w:r>
      <w:r w:rsidR="006B24CC">
        <w:rPr>
          <w:sz w:val="24"/>
          <w:szCs w:val="24"/>
          <w:highlight w:val="yellow"/>
        </w:rPr>
        <w:t xml:space="preserve">add link to repository;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1B7C4AB1" w14:textId="58155340" w:rsidR="00257DCB" w:rsidRDefault="000B7F94" w:rsidP="000069C1">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xml:space="preserve">), we wanted to prioritize rendering small- to medium-scale gene regulatory networks both easily and well.  </w:t>
      </w:r>
    </w:p>
    <w:p w14:paraId="5A20FD64" w14:textId="3B67DC80" w:rsidR="000B7F94" w:rsidRDefault="000B7F94" w:rsidP="00966A48">
      <w:pPr>
        <w:spacing w:before="240" w:after="240" w:line="480" w:lineRule="auto"/>
        <w:ind w:firstLine="720"/>
        <w:rPr>
          <w:sz w:val="24"/>
          <w:szCs w:val="24"/>
        </w:rPr>
      </w:pPr>
      <w:r>
        <w:rPr>
          <w:sz w:val="24"/>
          <w:szCs w:val="24"/>
        </w:rPr>
        <w:t>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make </w:t>
      </w:r>
      <w:r w:rsidR="00D10AB4">
        <w:rPr>
          <w:sz w:val="24"/>
          <w:szCs w:val="24"/>
        </w:rPr>
        <w:t>our tool also 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5206C645"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 xml:space="preserve">Prlic and Procter; </w:t>
      </w:r>
      <w:r w:rsidRPr="00F23987">
        <w:rPr>
          <w:sz w:val="24"/>
          <w:szCs w:val="24"/>
        </w:rPr>
        <w:t>Wilson et al., 2014)</w:t>
      </w:r>
      <w:r w:rsidR="002139F4">
        <w:rPr>
          <w:sz w:val="24"/>
          <w:szCs w:val="24"/>
        </w:rPr>
        <w:t>.</w:t>
      </w:r>
    </w:p>
    <w:p w14:paraId="3884672F" w14:textId="4A3C6B9B"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980FBA">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6501F510"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Pr>
          <w:rFonts w:cs="Times New Roman"/>
          <w:sz w:val="24"/>
          <w:szCs w:val="24"/>
        </w:rPr>
        <w:t>GraphML</w:t>
      </w:r>
      <w:r w:rsidR="00F342E4" w:rsidRPr="00771E30">
        <w:rPr>
          <w:rFonts w:cs="Times New Roman"/>
          <w:sz w:val="24"/>
          <w:szCs w:val="24"/>
        </w:rPr>
        <w:t xml:space="preserve"> (.graphml, </w:t>
      </w:r>
      <w:r w:rsidR="00B17856" w:rsidRPr="00CC248D">
        <w:rPr>
          <w:rFonts w:cs="Times New Roman"/>
          <w:sz w:val="24"/>
          <w:szCs w:val="24"/>
          <w:highlight w:val="yellow"/>
        </w:rPr>
        <w:t>Brandes et al. 2001</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53275F">
        <w:rPr>
          <w:rFonts w:cs="Times New Roman"/>
          <w:sz w:val="24"/>
          <w:szCs w:val="24"/>
        </w:rPr>
        <w:t>the GRNsight documentation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60154423"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 xml:space="preserve">Server-side components are implemented with Node.js and the Express framework (Brown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512007A8"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 visualization engine was simply made 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20C1E161"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4D4721AD"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4A1B979C" w:rsidR="007052B5" w:rsidRPr="005E4D1B"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web site is free and open to all users, and there is no login requirement.  </w:t>
      </w:r>
      <w:r w:rsidRPr="00FA0331">
        <w:rPr>
          <w:sz w:val="24"/>
          <w:szCs w:val="24"/>
        </w:rPr>
        <w:t>Web 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77777777" w:rsidR="00FA0331" w:rsidRDefault="00FA0331" w:rsidP="00FA0331">
      <w:pPr>
        <w:pStyle w:val="ListParagraph"/>
        <w:numPr>
          <w:ilvl w:val="0"/>
          <w:numId w:val="6"/>
        </w:numPr>
        <w:spacing w:before="240" w:after="240" w:line="480" w:lineRule="auto"/>
        <w:rPr>
          <w:sz w:val="24"/>
          <w:szCs w:val="24"/>
        </w:rPr>
      </w:pPr>
      <w:r>
        <w:rPr>
          <w:sz w:val="24"/>
          <w:szCs w:val="24"/>
        </w:rPr>
        <w:t>It reads a weighted or unweighted adjacency matrix where the regulatory transcription factors are in columns and the target genes are in rows;</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3E9879C9"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3E30912D" w:rsidR="00CA20D5"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network.  For each of these</w:t>
      </w:r>
      <w:r w:rsidR="005B5790">
        <w:rPr>
          <w:sz w:val="24"/>
          <w:szCs w:val="24"/>
        </w:rPr>
        <w:t xml:space="preserve"> regulators</w:t>
      </w:r>
      <w:r w:rsidR="00C564A3" w:rsidRPr="00C564A3">
        <w:rPr>
          <w:sz w:val="24"/>
          <w:szCs w:val="24"/>
        </w:rPr>
        <w:t>, there is experimental evidence to support their opposite effects on</w:t>
      </w:r>
      <w:r w:rsidR="00C564A3">
        <w:rPr>
          <w:sz w:val="24"/>
          <w:szCs w:val="24"/>
        </w:rPr>
        <w:t xml:space="preserve"> gene expression, although not necessarily</w:t>
      </w:r>
      <w:r w:rsidR="00212750">
        <w:rPr>
          <w:sz w:val="24"/>
          <w:szCs w:val="24"/>
        </w:rPr>
        <w:t xml:space="preserve"> for these particular target gen</w:t>
      </w:r>
      <w:r w:rsidR="00C564A3">
        <w:rPr>
          <w:sz w:val="24"/>
          <w:szCs w:val="24"/>
        </w:rPr>
        <w:t xml:space="preserv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Shore and Nasmyth, 1987</w:t>
      </w:r>
      <w:r w:rsidR="00C564A3" w:rsidRPr="00C564A3">
        <w:rPr>
          <w:sz w:val="24"/>
          <w:szCs w:val="24"/>
          <w:highlight w:val="yellow"/>
        </w:rPr>
        <w:t xml:space="preserve">; PHD1: </w:t>
      </w:r>
      <w:r w:rsidR="00C564A3">
        <w:rPr>
          <w:sz w:val="24"/>
          <w:szCs w:val="24"/>
          <w:highlight w:val="yellow"/>
        </w:rPr>
        <w:t xml:space="preserve"> </w:t>
      </w:r>
      <w:r w:rsidR="00C564A3" w:rsidRPr="00C564A3">
        <w:rPr>
          <w:sz w:val="24"/>
          <w:szCs w:val="24"/>
          <w:highlight w:val="yellow"/>
        </w:rPr>
        <w:t xml:space="preserve">Borneman et al. 2006, ABF1: </w:t>
      </w:r>
      <w:r w:rsidR="00C564A3">
        <w:rPr>
          <w:sz w:val="24"/>
          <w:szCs w:val="24"/>
          <w:highlight w:val="yellow"/>
        </w:rPr>
        <w:t xml:space="preserve"> </w:t>
      </w:r>
      <w:r w:rsidR="00C564A3" w:rsidRPr="00C564A3">
        <w:rPr>
          <w:sz w:val="24"/>
          <w:szCs w:val="24"/>
          <w:highlight w:val="yellow"/>
        </w:rPr>
        <w:t>Buchman and Kornberg 1990, Miyake et al. 2004; CIN5 and SKN7:  Nie et al.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C564A3">
        <w:rPr>
          <w:sz w:val="24"/>
          <w:szCs w:val="24"/>
        </w:rPr>
        <w:t xml:space="preserve">  Because these genes have no imputs and, in some sense, have been artific</w:t>
      </w:r>
      <w:r w:rsidR="002C1819">
        <w:rPr>
          <w:sz w:val="24"/>
          <w:szCs w:val="24"/>
        </w:rPr>
        <w:t>i</w:t>
      </w:r>
      <w:r w:rsidR="00C564A3">
        <w:rPr>
          <w:sz w:val="24"/>
          <w:szCs w:val="24"/>
        </w:rPr>
        <w:t>ally disconnected from the larger GRN in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5B5790">
        <w:rPr>
          <w:sz w:val="24"/>
          <w:szCs w:val="24"/>
          <w:highlight w:val="yellow"/>
        </w:rPr>
        <w:t>Thus, GRNsight enables one to interpret the weight parameters more easily than one could from the adjacency matrix alone.</w:t>
      </w:r>
      <w:r w:rsidR="00F2557D" w:rsidRPr="005B5790">
        <w:rPr>
          <w:sz w:val="24"/>
          <w:szCs w:val="24"/>
        </w:rPr>
        <w:t xml:space="preserve">  </w:t>
      </w:r>
      <w:r w:rsidR="005B5790">
        <w:rPr>
          <w:sz w:val="24"/>
          <w:szCs w:val="24"/>
        </w:rPr>
        <w:t>Visual</w:t>
      </w:r>
      <w:r w:rsidR="005B5790" w:rsidRPr="005B5790">
        <w:rPr>
          <w:sz w:val="24"/>
          <w:szCs w:val="24"/>
        </w:rPr>
        <w:t xml:space="preserve"> inspection has long been recognized by experts such as </w:t>
      </w:r>
      <w:r w:rsidR="005B5790" w:rsidRPr="001D7136">
        <w:rPr>
          <w:sz w:val="24"/>
          <w:szCs w:val="24"/>
          <w:highlight w:val="yellow"/>
        </w:rPr>
        <w:t>Tufte (1983)</w:t>
      </w:r>
      <w:r w:rsidR="005B5790" w:rsidRPr="005B5790">
        <w:rPr>
          <w:sz w:val="24"/>
          <w:szCs w:val="24"/>
        </w:rPr>
        <w:t xml:space="preserve"> and </w:t>
      </w:r>
      <w:r w:rsidR="005B5790" w:rsidRPr="001D7136">
        <w:rPr>
          <w:sz w:val="24"/>
          <w:szCs w:val="24"/>
          <w:highlight w:val="yellow"/>
        </w:rPr>
        <w:t>Card, Mackinlay, and Shneiderman (1999)</w:t>
      </w:r>
      <w:r w:rsidR="005B5790" w:rsidRPr="005B5790">
        <w:rPr>
          <w:sz w:val="24"/>
          <w:szCs w:val="24"/>
        </w:rPr>
        <w:t xml:space="preserve"> as distinct from other forms of purely </w:t>
      </w:r>
      <w:r w:rsidR="002C1819">
        <w:rPr>
          <w:sz w:val="24"/>
          <w:szCs w:val="24"/>
        </w:rPr>
        <w:t xml:space="preserve">numeric, </w:t>
      </w:r>
      <w:r w:rsidR="005B5790" w:rsidRPr="005B5790">
        <w:rPr>
          <w:sz w:val="24"/>
          <w:szCs w:val="24"/>
        </w:rPr>
        <w:t>computational</w:t>
      </w:r>
      <w:r w:rsidR="002C1819">
        <w:rPr>
          <w:sz w:val="24"/>
          <w:szCs w:val="24"/>
        </w:rPr>
        <w:t>,</w:t>
      </w:r>
      <w:r w:rsidR="005B5790" w:rsidRPr="005B5790">
        <w:rPr>
          <w:sz w:val="24"/>
          <w:szCs w:val="24"/>
        </w:rPr>
        <w:t xml:space="preserve">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Mackinlay, and Shneiderman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7682B24E"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 xml:space="preserve">open development (Prlic and Procter 2012), </w:t>
      </w:r>
      <w:r w:rsidR="00773FE9" w:rsidRPr="00F23987">
        <w:rPr>
          <w:sz w:val="24"/>
          <w:szCs w:val="24"/>
        </w:rPr>
        <w:t xml:space="preserve">scientific computing </w:t>
      </w:r>
      <w:r w:rsidR="000B4703">
        <w:rPr>
          <w:sz w:val="24"/>
          <w:szCs w:val="24"/>
        </w:rPr>
        <w:t xml:space="preserve">(Wilson et al. </w:t>
      </w:r>
      <w:r w:rsidR="00773FE9" w:rsidRPr="00F23987">
        <w:rPr>
          <w:sz w:val="24"/>
          <w:szCs w:val="24"/>
        </w:rPr>
        <w:t>2014)</w:t>
      </w:r>
      <w:r w:rsidR="000B4703">
        <w:rPr>
          <w:sz w:val="24"/>
          <w:szCs w:val="24"/>
        </w:rPr>
        <w:t xml:space="preserve">, </w:t>
      </w:r>
      <w:r w:rsidR="00773FE9" w:rsidRPr="00F23987">
        <w:rPr>
          <w:sz w:val="24"/>
          <w:szCs w:val="24"/>
        </w:rPr>
        <w:t xml:space="preserve">for 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69012E71"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Pr>
          <w:sz w:val="24"/>
          <w:szCs w:val="24"/>
        </w:rPr>
        <w:t xml:space="preserve">“release early and often” and </w:t>
      </w:r>
      <w:r w:rsidR="006C5787" w:rsidRPr="00F23987">
        <w:rPr>
          <w:sz w:val="24"/>
          <w:szCs w:val="24"/>
        </w:rPr>
        <w:t>also track requirements, issues, and bugs</w:t>
      </w:r>
      <w:r w:rsidR="00837D17"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Procter (2012), open development </w:t>
      </w:r>
      <w:r>
        <w:rPr>
          <w:sz w:val="24"/>
          <w:szCs w:val="24"/>
        </w:rPr>
        <w:lastRenderedPageBreak/>
        <w:t xml:space="preserve">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complies with all twelve requirements, including web address available (using the github.io domain to host the web site and Amazon Cloud Services to host the server help to ensure long-term availability), version information available, hosting country and institution determined, last updated date and contact information available, high usability, registration not required, download not required, example data available, fair testing possibility (both with demonstration Excel workbooks and standard SIF and GraphML filetypes), and the service is functional.</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69A8EBA3"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B346FD" w:rsidRDefault="009B4CA5" w:rsidP="00B346FD">
      <w:pPr>
        <w:pStyle w:val="Heading4"/>
        <w:rPr>
          <w:rFonts w:ascii="Times New Roman" w:hAnsi="Times New Roman" w:cs="Times New Roman"/>
          <w:color w:val="000000" w:themeColor="text1"/>
        </w:rPr>
      </w:pPr>
      <w:r w:rsidRPr="00B346FD">
        <w:rPr>
          <w:rFonts w:ascii="Times New Roman" w:hAnsi="Times New Roman" w:cs="Times New Roman"/>
          <w:color w:val="000000" w:themeColor="text1"/>
        </w:rPr>
        <w:t>Findable</w:t>
      </w:r>
    </w:p>
    <w:p w14:paraId="4A9B5841" w14:textId="7392CE72" w:rsidR="00E4369C" w:rsidRDefault="00B346FD" w:rsidP="00E4369C">
      <w:pPr>
        <w:spacing w:before="240" w:after="240" w:line="480" w:lineRule="auto"/>
        <w:ind w:firstLine="720"/>
        <w:rPr>
          <w:sz w:val="24"/>
          <w:szCs w:val="24"/>
        </w:rPr>
      </w:pPr>
      <w:r>
        <w:rPr>
          <w:sz w:val="24"/>
          <w:szCs w:val="24"/>
        </w:rPr>
        <w:t>T</w:t>
      </w:r>
      <w:r>
        <w:rPr>
          <w:sz w:val="24"/>
          <w:szCs w:val="24"/>
        </w:rPr>
        <w:t xml:space="preserve">he Findable guiding principle states that metadata and data should have a globally unique and persistent identifier, </w:t>
      </w:r>
      <w:r>
        <w:rPr>
          <w:sz w:val="24"/>
          <w:szCs w:val="24"/>
        </w:rPr>
        <w:t xml:space="preserve">and that metadata and data should be </w:t>
      </w:r>
      <w:r>
        <w:rPr>
          <w:sz w:val="24"/>
          <w:szCs w:val="24"/>
        </w:rPr>
        <w:t xml:space="preserve">registered or indexed in a searchable resource </w:t>
      </w:r>
      <w:r w:rsidRPr="001E1DC9">
        <w:rPr>
          <w:sz w:val="24"/>
          <w:szCs w:val="24"/>
          <w:highlight w:val="yellow"/>
        </w:rPr>
        <w:t>(Wilkinson et al. 2016)</w:t>
      </w:r>
      <w:r>
        <w:rPr>
          <w:sz w:val="24"/>
          <w:szCs w:val="24"/>
        </w:rPr>
        <w:t>.  In terms of software, the identifier</w:t>
      </w:r>
      <w:r>
        <w:rPr>
          <w:sz w:val="24"/>
          <w:szCs w:val="24"/>
        </w:rPr>
        <w:t xml:space="preserve"> </w:t>
      </w:r>
      <w:r>
        <w:rPr>
          <w:sz w:val="24"/>
          <w:szCs w:val="24"/>
        </w:rPr>
        <w:t xml:space="preserve">is the name and </w:t>
      </w:r>
      <w:r>
        <w:rPr>
          <w:sz w:val="24"/>
          <w:szCs w:val="24"/>
        </w:rPr>
        <w:t xml:space="preserve">version.  Because we utilize the GitHub release mechanism, </w:t>
      </w:r>
      <w:r>
        <w:rPr>
          <w:sz w:val="24"/>
          <w:szCs w:val="24"/>
        </w:rPr>
        <w:t xml:space="preserve">GRNsight </w:t>
      </w:r>
      <w:r>
        <w:rPr>
          <w:sz w:val="24"/>
          <w:szCs w:val="24"/>
        </w:rPr>
        <w:t>code is tagged with a version and each version is available from the release page (</w:t>
      </w:r>
      <w:r w:rsidRPr="00554CFE">
        <w:rPr>
          <w:i/>
          <w:sz w:val="24"/>
          <w:szCs w:val="24"/>
        </w:rPr>
        <w:t>https://github.com/dondi/GRNsight/releases</w:t>
      </w:r>
      <w:r>
        <w:rPr>
          <w:sz w:val="24"/>
          <w:szCs w:val="24"/>
        </w:rPr>
        <w:t xml:space="preserve">).  </w:t>
      </w:r>
      <w:r w:rsidR="009B4CA5">
        <w:rPr>
          <w:sz w:val="24"/>
          <w:szCs w:val="24"/>
        </w:rPr>
        <w:t xml:space="preserve">We have </w:t>
      </w:r>
      <w:r w:rsidR="0035369C">
        <w:rPr>
          <w:sz w:val="24"/>
          <w:szCs w:val="24"/>
        </w:rPr>
        <w:t xml:space="preserve">registered GRNsight </w:t>
      </w:r>
      <w:r w:rsidR="00212AC2">
        <w:rPr>
          <w:sz w:val="24"/>
          <w:szCs w:val="24"/>
        </w:rPr>
        <w:t xml:space="preserve">with well-known </w:t>
      </w:r>
      <w:r w:rsidR="009B4CA5">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r w:rsidR="009B4CA5" w:rsidRPr="00322BF8">
        <w:rPr>
          <w:sz w:val="24"/>
          <w:szCs w:val="24"/>
          <w:highlight w:val="yellow"/>
        </w:rPr>
        <w:t xml:space="preserve">, </w:t>
      </w:r>
      <w:r w:rsidR="00212AC2" w:rsidRPr="00BD5061">
        <w:rPr>
          <w:i/>
          <w:sz w:val="24"/>
          <w:szCs w:val="24"/>
          <w:highlight w:val="yellow"/>
        </w:rPr>
        <w:t>http://biojs.io/</w:t>
      </w:r>
      <w:r w:rsidR="00212AC2" w:rsidRPr="00322BF8">
        <w:rPr>
          <w:sz w:val="24"/>
          <w:szCs w:val="24"/>
          <w:highlight w:val="yellow"/>
        </w:rPr>
        <w:t>)</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009B4CA5" w:rsidRPr="00322BF8">
        <w:rPr>
          <w:sz w:val="24"/>
          <w:szCs w:val="24"/>
          <w:highlight w:val="yellow"/>
        </w:rPr>
        <w:t xml:space="preserve">, </w:t>
      </w:r>
      <w:r w:rsidR="00212AC2" w:rsidRPr="00BD5061">
        <w:rPr>
          <w:i/>
          <w:sz w:val="24"/>
          <w:szCs w:val="24"/>
          <w:highlight w:val="yellow"/>
        </w:rPr>
        <w:t>https://bio.tools/</w:t>
      </w:r>
      <w:r w:rsidR="00212AC2" w:rsidRPr="00322BF8">
        <w:rPr>
          <w:sz w:val="24"/>
          <w:szCs w:val="24"/>
          <w:highlight w:val="yellow"/>
        </w:rPr>
        <w:t>)</w:t>
      </w:r>
      <w:r w:rsidR="00212AC2">
        <w:rPr>
          <w:sz w:val="24"/>
          <w:szCs w:val="24"/>
        </w:rPr>
        <w:t xml:space="preserve">, Bioinformatics.org </w:t>
      </w:r>
      <w:r w:rsidR="00212AC2" w:rsidRPr="00322BF8">
        <w:rPr>
          <w:sz w:val="24"/>
          <w:szCs w:val="24"/>
          <w:highlight w:val="yellow"/>
        </w:rPr>
        <w:t>(</w:t>
      </w:r>
      <w:r w:rsidR="00212AC2" w:rsidRPr="00BD5061">
        <w:rPr>
          <w:i/>
          <w:sz w:val="24"/>
          <w:szCs w:val="24"/>
          <w:highlight w:val="yellow"/>
        </w:rPr>
        <w:t>http://www.bioinformatics.org/wiki/</w:t>
      </w:r>
      <w:r w:rsidR="00212AC2" w:rsidRPr="00322BF8">
        <w:rPr>
          <w:sz w:val="24"/>
          <w:szCs w:val="24"/>
          <w:highlight w:val="yellow"/>
        </w:rPr>
        <w:t>)</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sidR="009B4CA5">
        <w:rPr>
          <w:sz w:val="24"/>
          <w:szCs w:val="24"/>
        </w:rPr>
        <w:t xml:space="preserve">, </w:t>
      </w:r>
      <w:r w:rsidR="00212AC2" w:rsidRPr="00BD5061">
        <w:rPr>
          <w:i/>
          <w:sz w:val="24"/>
          <w:szCs w:val="24"/>
        </w:rPr>
        <w:t>https://bioinformatics.ca/links_directory/</w:t>
      </w:r>
      <w:r w:rsidR="00212AC2">
        <w:rPr>
          <w:sz w:val="24"/>
          <w:szCs w:val="24"/>
        </w:rPr>
        <w:t>)</w:t>
      </w:r>
      <w:r w:rsidR="00C3575F">
        <w:rPr>
          <w:sz w:val="24"/>
          <w:szCs w:val="24"/>
        </w:rPr>
        <w:t xml:space="preserve">, as well as NPM (Node Package Manager, </w:t>
      </w:r>
      <w:r w:rsidR="00C3575F" w:rsidRPr="00BD5061">
        <w:rPr>
          <w:i/>
          <w:sz w:val="24"/>
          <w:szCs w:val="24"/>
        </w:rPr>
        <w:t>https://www.npmjs.com/</w:t>
      </w:r>
      <w:r w:rsidR="00C3575F">
        <w:rPr>
          <w:sz w:val="24"/>
          <w:szCs w:val="24"/>
        </w:rPr>
        <w:t>)</w:t>
      </w:r>
      <w:r w:rsidR="00212AC2">
        <w:rPr>
          <w:sz w:val="24"/>
          <w:szCs w:val="24"/>
        </w:rPr>
        <w:t xml:space="preserve">.  </w:t>
      </w:r>
      <w:r w:rsidR="009B4CA5">
        <w:rPr>
          <w:sz w:val="24"/>
          <w:szCs w:val="24"/>
        </w:rPr>
        <w:t xml:space="preserve">GRNsight has </w:t>
      </w:r>
      <w:r w:rsidR="0035369C">
        <w:rPr>
          <w:sz w:val="24"/>
          <w:szCs w:val="24"/>
        </w:rPr>
        <w:t xml:space="preserve">also </w:t>
      </w:r>
      <w:r w:rsidR="009B4CA5">
        <w:rPr>
          <w:sz w:val="24"/>
          <w:szCs w:val="24"/>
        </w:rPr>
        <w:t>been presented at scientific conferences, with slide</w:t>
      </w:r>
      <w:r w:rsidR="00F96A87">
        <w:rPr>
          <w:sz w:val="24"/>
          <w:szCs w:val="24"/>
        </w:rPr>
        <w:t xml:space="preserve">s and posters available via </w:t>
      </w:r>
      <w:r w:rsidR="009B4CA5">
        <w:rPr>
          <w:sz w:val="24"/>
          <w:szCs w:val="24"/>
        </w:rPr>
        <w:t>SlideShare (</w:t>
      </w:r>
      <w:r w:rsidR="00F96A87" w:rsidRPr="008E474E">
        <w:rPr>
          <w:i/>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w:t>
      </w:r>
      <w:r w:rsidR="00BD5061">
        <w:rPr>
          <w:sz w:val="24"/>
          <w:szCs w:val="24"/>
          <w:highlight w:val="yellow"/>
        </w:rPr>
        <w:t>et al. 2016a; 2016b)</w:t>
      </w:r>
      <w:r w:rsidR="00F96A87">
        <w:rPr>
          <w:sz w:val="24"/>
          <w:szCs w:val="24"/>
        </w:rPr>
        <w:t xml:space="preserve">.  We have paid special care to the metadata associated with our web site to </w:t>
      </w:r>
      <w:r w:rsidR="00F96A87">
        <w:rPr>
          <w:sz w:val="24"/>
          <w:szCs w:val="24"/>
        </w:rPr>
        <w:lastRenderedPageBreak/>
        <w:t>increase its Findability via Google search.  And</w:t>
      </w:r>
      <w:r>
        <w:rPr>
          <w:sz w:val="24"/>
          <w:szCs w:val="24"/>
        </w:rPr>
        <w:t>,</w:t>
      </w:r>
      <w:r w:rsidR="00F96A87">
        <w:rPr>
          <w:sz w:val="24"/>
          <w:szCs w:val="24"/>
        </w:rPr>
        <w:t xml:space="preserve"> of course, with the publication of this article, GRNsight is Findable in literature databases.  </w:t>
      </w:r>
      <w:r w:rsidR="00E4369C">
        <w:rPr>
          <w:sz w:val="24"/>
          <w:szCs w:val="24"/>
        </w:rPr>
        <w:t>In the</w:t>
      </w:r>
      <w:r w:rsidR="008E474E">
        <w:rPr>
          <w:sz w:val="24"/>
          <w:szCs w:val="24"/>
        </w:rPr>
        <w:t xml:space="preserve"> everday sense of the word “findable</w:t>
      </w:r>
      <w:r w:rsidR="008E3FF1">
        <w:rPr>
          <w:sz w:val="24"/>
          <w:szCs w:val="24"/>
        </w:rPr>
        <w:t>,</w:t>
      </w:r>
      <w:r w:rsidR="008E474E">
        <w:rPr>
          <w:sz w:val="24"/>
          <w:szCs w:val="24"/>
        </w:rPr>
        <w:t xml:space="preserve">” </w:t>
      </w:r>
      <w:r w:rsidR="00E4369C">
        <w:rPr>
          <w:sz w:val="24"/>
          <w:szCs w:val="24"/>
        </w:rPr>
        <w:t>o</w:t>
      </w:r>
      <w:r w:rsidR="00E4369C">
        <w:rPr>
          <w:sz w:val="24"/>
          <w:szCs w:val="24"/>
        </w:rPr>
        <w:t xml:space="preserve">ne could argue that by being “yet another” network visualization tool in a crowded domain (recall 47 other tools recorded by Pavlopoulos et al. 2015), GRNsight is contributing to a Findability problem for users in the sense that it contributes more “hay” to the </w:t>
      </w:r>
      <w:r w:rsidR="00E4369C">
        <w:rPr>
          <w:sz w:val="24"/>
          <w:szCs w:val="24"/>
        </w:rPr>
        <w:t>“</w:t>
      </w:r>
      <w:r w:rsidR="00E4369C">
        <w:rPr>
          <w:sz w:val="24"/>
          <w:szCs w:val="24"/>
        </w:rPr>
        <w:t>needle in a haystack</w:t>
      </w:r>
      <w:r w:rsidR="00E4369C">
        <w:rPr>
          <w:sz w:val="24"/>
          <w:szCs w:val="24"/>
        </w:rPr>
        <w:t>”</w:t>
      </w:r>
      <w:r w:rsidR="00E4369C">
        <w:rPr>
          <w:sz w:val="24"/>
          <w:szCs w:val="24"/>
        </w:rPr>
        <w:t xml:space="preserve"> problem of finding the right tool for the job.  However, we hope that by the actions we have taken and the specificity of our requirements for GRNsight and its functionality, publicly describing both what we mean it to be and what we do </w:t>
      </w:r>
      <w:r w:rsidR="00E4369C">
        <w:rPr>
          <w:i/>
          <w:sz w:val="24"/>
          <w:szCs w:val="24"/>
        </w:rPr>
        <w:t>not</w:t>
      </w:r>
      <w:r w:rsidR="00E4369C">
        <w:rPr>
          <w:sz w:val="24"/>
          <w:szCs w:val="24"/>
        </w:rPr>
        <w:t xml:space="preserve"> mean it to be, the benefits of adding GRNsight to the diverse pool of network visualization software outweighs the detriments.</w:t>
      </w:r>
    </w:p>
    <w:p w14:paraId="32A378BC" w14:textId="3F2230BF" w:rsidR="009B4CA5" w:rsidRDefault="00E4369C" w:rsidP="009B4CA5">
      <w:pPr>
        <w:spacing w:before="240" w:after="240" w:line="480" w:lineRule="auto"/>
        <w:ind w:firstLine="720"/>
        <w:rPr>
          <w:sz w:val="24"/>
          <w:szCs w:val="24"/>
        </w:rPr>
      </w:pPr>
      <w:r>
        <w:rPr>
          <w:sz w:val="24"/>
          <w:szCs w:val="24"/>
        </w:rPr>
        <w:t xml:space="preserve">In additon, the Findable principle states that </w:t>
      </w:r>
      <w:r w:rsidR="0035369C">
        <w:rPr>
          <w:sz w:val="24"/>
          <w:szCs w:val="24"/>
        </w:rPr>
        <w:t>data should b</w:t>
      </w:r>
      <w:r>
        <w:rPr>
          <w:sz w:val="24"/>
          <w:szCs w:val="24"/>
        </w:rPr>
        <w:t xml:space="preserve">e described with rich metadata and that </w:t>
      </w:r>
      <w:r w:rsidR="0035369C">
        <w:rPr>
          <w:sz w:val="24"/>
          <w:szCs w:val="24"/>
        </w:rPr>
        <w:t>metadata should include the identifier of the data it describes</w:t>
      </w:r>
      <w:r>
        <w:rPr>
          <w:sz w:val="24"/>
          <w:szCs w:val="24"/>
        </w:rPr>
        <w:t xml:space="preserve"> (Wilkinson et al. 2016).</w:t>
      </w:r>
      <w:r w:rsidR="0035369C">
        <w:rPr>
          <w:sz w:val="24"/>
          <w:szCs w:val="24"/>
        </w:rPr>
        <w:t xml:space="preserve">  </w:t>
      </w:r>
      <w:r w:rsidR="004E6D20">
        <w:rPr>
          <w:sz w:val="24"/>
          <w:szCs w:val="24"/>
        </w:rPr>
        <w:t>Because GRNsight does not interact directly with a data repository, it is up to individual users to make sure that their data is FAIR compli</w:t>
      </w:r>
      <w:r>
        <w:rPr>
          <w:sz w:val="24"/>
          <w:szCs w:val="24"/>
        </w:rPr>
        <w:t>ant with the Findable principle.  This is discussed further below with regard to the Interoperability and Reusability principles.</w:t>
      </w:r>
    </w:p>
    <w:p w14:paraId="74EEFD68" w14:textId="386A4594" w:rsidR="004E6D20" w:rsidRPr="005E6C92" w:rsidRDefault="004E6D20" w:rsidP="005E6C92">
      <w:pPr>
        <w:pStyle w:val="Heading4"/>
        <w:rPr>
          <w:rFonts w:ascii="Times New Roman" w:hAnsi="Times New Roman" w:cs="Times New Roman"/>
          <w:color w:val="000000" w:themeColor="text1"/>
        </w:rPr>
      </w:pPr>
      <w:r w:rsidRPr="005E6C92">
        <w:rPr>
          <w:rFonts w:ascii="Times New Roman" w:hAnsi="Times New Roman" w:cs="Times New Roman"/>
          <w:color w:val="000000" w:themeColor="text1"/>
        </w:rPr>
        <w:t>Accessible</w:t>
      </w:r>
    </w:p>
    <w:p w14:paraId="00E07777" w14:textId="74DF6EE5" w:rsidR="004E6D20" w:rsidRDefault="004E6D20" w:rsidP="004E6D20">
      <w:pPr>
        <w:spacing w:before="240" w:after="240" w:line="480" w:lineRule="auto"/>
        <w:rPr>
          <w:sz w:val="24"/>
          <w:szCs w:val="24"/>
        </w:rPr>
      </w:pPr>
      <w:r>
        <w:rPr>
          <w:sz w:val="24"/>
          <w:szCs w:val="24"/>
        </w:rPr>
        <w:tab/>
      </w:r>
      <w:r w:rsidR="00742469">
        <w:rPr>
          <w:sz w:val="24"/>
          <w:szCs w:val="24"/>
        </w:rPr>
        <w:t xml:space="preserve">The Accessible guiding principle states that meta data and data should be retrievable by their identifier using a standardized communication protocol, that the protocol is open, free, and universally implementable, </w:t>
      </w:r>
      <w:r w:rsidR="00903387">
        <w:rPr>
          <w:sz w:val="24"/>
          <w:szCs w:val="24"/>
        </w:rPr>
        <w:t xml:space="preserve">that </w:t>
      </w:r>
      <w:r w:rsidR="00742469">
        <w:rPr>
          <w:sz w:val="24"/>
          <w:szCs w:val="24"/>
        </w:rPr>
        <w:t xml:space="preserve">the protocol allows for authentication and authorization procedures, where necessary, and that metadata are accessible, even when the data are no longer available (Wilkinson et al. 2016).  </w:t>
      </w:r>
      <w:r>
        <w:rPr>
          <w:sz w:val="24"/>
          <w:szCs w:val="24"/>
        </w:rPr>
        <w:t xml:space="preserve">As noted </w:t>
      </w:r>
      <w:r w:rsidR="00903387">
        <w:rPr>
          <w:sz w:val="24"/>
          <w:szCs w:val="24"/>
        </w:rPr>
        <w:t xml:space="preserve">before, GRNsight meets the first two criteria </w:t>
      </w:r>
      <w:r>
        <w:rPr>
          <w:sz w:val="24"/>
          <w:szCs w:val="24"/>
        </w:rPr>
        <w:t>,</w:t>
      </w:r>
      <w:r w:rsidR="00212AC2">
        <w:rPr>
          <w:sz w:val="24"/>
          <w:szCs w:val="24"/>
        </w:rPr>
        <w:t xml:space="preserv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w:t>
      </w:r>
      <w:r w:rsidR="00AF2059">
        <w:rPr>
          <w:sz w:val="24"/>
          <w:szCs w:val="24"/>
        </w:rPr>
        <w:lastRenderedPageBreak/>
        <w:t xml:space="preserve">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BD6226" w:rsidRDefault="00AF2059" w:rsidP="00BD6226">
      <w:pPr>
        <w:pStyle w:val="Heading4"/>
        <w:rPr>
          <w:rFonts w:ascii="Times New Roman" w:hAnsi="Times New Roman" w:cs="Times New Roman"/>
          <w:color w:val="000000" w:themeColor="text1"/>
        </w:rPr>
      </w:pPr>
      <w:r w:rsidRPr="00BD6226">
        <w:rPr>
          <w:rFonts w:ascii="Times New Roman" w:hAnsi="Times New Roman" w:cs="Times New Roman"/>
          <w:color w:val="000000" w:themeColor="text1"/>
        </w:rPr>
        <w:t>Interoperable</w:t>
      </w:r>
    </w:p>
    <w:p w14:paraId="48082BB3" w14:textId="68196B4A"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w:t>
      </w:r>
      <w:r w:rsidR="00D30ED2">
        <w:rPr>
          <w:sz w:val="24"/>
          <w:szCs w:val="24"/>
        </w:rPr>
        <w:t>teroperable in the sense of interacting</w:t>
      </w:r>
      <w:r>
        <w:rPr>
          <w:sz w:val="24"/>
          <w:szCs w:val="24"/>
        </w:rPr>
        <w:t xml:space="preserve"> directly with other </w:t>
      </w:r>
      <w:r w:rsidR="00BD6226">
        <w:rPr>
          <w:sz w:val="24"/>
          <w:szCs w:val="24"/>
        </w:rPr>
        <w:t>databases or software</w:t>
      </w:r>
      <w:r>
        <w:rPr>
          <w:sz w:val="24"/>
          <w:szCs w:val="24"/>
        </w:rPr>
        <w:t>, as, for</w:t>
      </w:r>
      <w:r w:rsidR="00BD6226">
        <w:rPr>
          <w:sz w:val="24"/>
          <w:szCs w:val="24"/>
        </w:rPr>
        <w:t xml:space="preserve"> example, Cytoscape does with many pathway and interaction</w:t>
      </w:r>
      <w:r>
        <w:rPr>
          <w:sz w:val="24"/>
          <w:szCs w:val="24"/>
        </w:rPr>
        <w:t xml:space="preserve"> database</w:t>
      </w:r>
      <w:r w:rsidR="00BD6226">
        <w:rPr>
          <w:sz w:val="24"/>
          <w:szCs w:val="24"/>
        </w:rPr>
        <w:t>s</w:t>
      </w:r>
      <w:r>
        <w:rPr>
          <w:sz w:val="24"/>
          <w:szCs w:val="24"/>
        </w:rPr>
        <w:t xml:space="preserve"> or </w:t>
      </w:r>
      <w:r w:rsidR="00776562">
        <w:rPr>
          <w:sz w:val="24"/>
          <w:szCs w:val="24"/>
        </w:rPr>
        <w:t xml:space="preserve">individual </w:t>
      </w:r>
      <w:r>
        <w:rPr>
          <w:sz w:val="24"/>
          <w:szCs w:val="24"/>
        </w:rPr>
        <w:t>Cyt</w:t>
      </w:r>
      <w:r w:rsidR="00D30ED2">
        <w:rPr>
          <w:sz w:val="24"/>
          <w:szCs w:val="24"/>
        </w:rPr>
        <w:t xml:space="preserve">oscape apps (formerly plugins; </w:t>
      </w:r>
      <w:r w:rsidR="00D30ED2" w:rsidRPr="00D30ED2">
        <w:rPr>
          <w:sz w:val="24"/>
          <w:szCs w:val="24"/>
          <w:highlight w:val="yellow"/>
        </w:rPr>
        <w:t>Saito et al. 2012</w:t>
      </w:r>
      <w:r w:rsidR="00D30ED2">
        <w:rPr>
          <w:sz w:val="24"/>
          <w:szCs w:val="24"/>
        </w:rPr>
        <w:t>)</w:t>
      </w:r>
      <w:r>
        <w:rPr>
          <w:sz w:val="24"/>
          <w:szCs w:val="24"/>
        </w:rPr>
        <w:t xml:space="preserve">.  </w:t>
      </w:r>
      <w:r w:rsidR="00D30ED2">
        <w:rPr>
          <w:sz w:val="24"/>
          <w:szCs w:val="24"/>
        </w:rPr>
        <w:t>The GRNsight web application is designed to interact directly with a human user and is not set up to import or export data programmatically, as would be necessary to incorporate it into popular workflow environments like Galaxy</w:t>
      </w:r>
      <w:r w:rsidR="00785120">
        <w:rPr>
          <w:sz w:val="24"/>
          <w:szCs w:val="24"/>
        </w:rPr>
        <w:t xml:space="preserve"> (</w:t>
      </w:r>
      <w:r w:rsidR="00785120" w:rsidRPr="00785120">
        <w:rPr>
          <w:sz w:val="24"/>
          <w:szCs w:val="24"/>
          <w:highlight w:val="yellow"/>
        </w:rPr>
        <w:t>Afgan et al. 2016</w:t>
      </w:r>
      <w:r w:rsidR="00785120">
        <w:rPr>
          <w:sz w:val="24"/>
          <w:szCs w:val="24"/>
        </w:rPr>
        <w:t>)</w:t>
      </w:r>
      <w:r w:rsidR="00C97895">
        <w:rPr>
          <w:sz w:val="24"/>
          <w:szCs w:val="24"/>
        </w:rPr>
        <w:t xml:space="preserve"> or be hosted by a tool aggregator such as QUBES </w:t>
      </w:r>
      <w:r w:rsidR="00C97895" w:rsidRPr="00C97895">
        <w:rPr>
          <w:sz w:val="24"/>
          <w:szCs w:val="24"/>
        </w:rPr>
        <w:t>Hub (</w:t>
      </w:r>
      <w:r w:rsidR="00C97895" w:rsidRPr="00C97895">
        <w:rPr>
          <w:sz w:val="24"/>
          <w:szCs w:val="24"/>
        </w:rPr>
        <w:t>Quantitative Undergraduate Biology Education and Synthesis</w:t>
      </w:r>
      <w:r w:rsidR="002A5D65">
        <w:rPr>
          <w:sz w:val="24"/>
          <w:szCs w:val="24"/>
        </w:rPr>
        <w:t xml:space="preserve"> Hub</w:t>
      </w:r>
      <w:r w:rsidR="00390098">
        <w:rPr>
          <w:sz w:val="24"/>
          <w:szCs w:val="24"/>
        </w:rPr>
        <w:t>,</w:t>
      </w:r>
      <w:r w:rsidR="00390098" w:rsidRPr="00390098">
        <w:t xml:space="preserve"> </w:t>
      </w:r>
      <w:r w:rsidR="00390098" w:rsidRPr="008059E5">
        <w:rPr>
          <w:i/>
          <w:sz w:val="24"/>
          <w:szCs w:val="24"/>
          <w:highlight w:val="yellow"/>
        </w:rPr>
        <w:t>https://qubeshub.org/</w:t>
      </w:r>
      <w:r w:rsidR="00390098">
        <w:rPr>
          <w:sz w:val="24"/>
          <w:szCs w:val="24"/>
        </w:rPr>
        <w:t>)</w:t>
      </w:r>
      <w:r w:rsidR="00C97895" w:rsidRPr="00C97895">
        <w:rPr>
          <w:sz w:val="24"/>
          <w:szCs w:val="24"/>
        </w:rPr>
        <w:t xml:space="preserve"> </w:t>
      </w:r>
      <w:r w:rsidR="00785120" w:rsidRPr="00C97895">
        <w:rPr>
          <w:sz w:val="24"/>
          <w:szCs w:val="24"/>
        </w:rPr>
        <w:t xml:space="preserve">. </w:t>
      </w:r>
      <w:r w:rsidR="00D30ED2" w:rsidRPr="00C97895">
        <w:rPr>
          <w:sz w:val="24"/>
          <w:szCs w:val="24"/>
        </w:rPr>
        <w:t xml:space="preserve"> </w:t>
      </w:r>
      <w:r w:rsidRPr="00C97895">
        <w:rPr>
          <w:sz w:val="24"/>
          <w:szCs w:val="24"/>
        </w:rPr>
        <w:t xml:space="preserve">However, GRNsight </w:t>
      </w:r>
      <w:r w:rsidRPr="00C97895">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2B757B">
        <w:rPr>
          <w:i/>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 xml:space="preserve">import and export data in </w:t>
      </w:r>
      <w:r w:rsidR="002B757B">
        <w:rPr>
          <w:sz w:val="24"/>
          <w:szCs w:val="24"/>
        </w:rPr>
        <w:t xml:space="preserve">the </w:t>
      </w:r>
      <w:r w:rsidR="002B757B">
        <w:rPr>
          <w:rFonts w:cs="Times New Roman"/>
          <w:sz w:val="24"/>
          <w:szCs w:val="24"/>
        </w:rPr>
        <w:t>commonly used</w:t>
      </w:r>
      <w:r w:rsidR="002B757B">
        <w:rPr>
          <w:sz w:val="24"/>
          <w:szCs w:val="24"/>
        </w:rPr>
        <w:t xml:space="preserve"> </w:t>
      </w:r>
      <w:r w:rsidR="00212AC2">
        <w:rPr>
          <w:sz w:val="24"/>
          <w:szCs w:val="24"/>
        </w:rPr>
        <w:t xml:space="preserve">SIF </w:t>
      </w:r>
      <w:r w:rsidR="00212AC2">
        <w:rPr>
          <w:sz w:val="24"/>
          <w:szCs w:val="24"/>
        </w:rPr>
        <w:lastRenderedPageBreak/>
        <w:t>(</w:t>
      </w:r>
      <w:r w:rsidR="00251558" w:rsidRPr="00771E30">
        <w:rPr>
          <w:rFonts w:cs="Times New Roman"/>
          <w:i/>
          <w:sz w:val="24"/>
          <w:szCs w:val="24"/>
        </w:rPr>
        <w:t>http://manual.cytoscape.org/en/latest/Supported_Network_File_Formats.html#sif-format</w:t>
      </w:r>
      <w:r w:rsidR="00212AC2">
        <w:rPr>
          <w:sz w:val="24"/>
          <w:szCs w:val="24"/>
        </w:rPr>
        <w:t xml:space="preserve">) and GraphML </w:t>
      </w:r>
      <w:r w:rsidR="00F914D1" w:rsidRPr="00F914D1">
        <w:rPr>
          <w:sz w:val="24"/>
          <w:szCs w:val="24"/>
        </w:rPr>
        <w:t>(</w:t>
      </w:r>
      <w:r w:rsidR="00BD30DB" w:rsidRPr="001E1DC9">
        <w:rPr>
          <w:sz w:val="24"/>
          <w:szCs w:val="24"/>
          <w:highlight w:val="yellow"/>
        </w:rPr>
        <w:t xml:space="preserve">Brandes, </w:t>
      </w:r>
      <w:r w:rsidR="00BD30DB">
        <w:rPr>
          <w:sz w:val="24"/>
          <w:szCs w:val="24"/>
          <w:highlight w:val="yellow"/>
        </w:rPr>
        <w:t xml:space="preserve">et al. </w:t>
      </w:r>
      <w:r w:rsidR="00BD30DB" w:rsidRPr="001E1DC9">
        <w:rPr>
          <w:sz w:val="24"/>
          <w:szCs w:val="24"/>
          <w:highlight w:val="yellow"/>
        </w:rPr>
        <w:t>2001</w:t>
      </w:r>
      <w:r w:rsidR="00BD30DB">
        <w:rPr>
          <w:sz w:val="24"/>
          <w:szCs w:val="24"/>
        </w:rPr>
        <w:t xml:space="preserve">, </w:t>
      </w:r>
      <w:r w:rsidR="00F914D1" w:rsidRPr="00F914D1">
        <w:rPr>
          <w:i/>
          <w:sz w:val="24"/>
          <w:szCs w:val="24"/>
        </w:rPr>
        <w:t>http://graphml.graphdrawing.org/</w:t>
      </w:r>
      <w:r w:rsidR="00F914D1" w:rsidRPr="00F914D1">
        <w:rPr>
          <w:sz w:val="24"/>
          <w:szCs w:val="24"/>
        </w:rPr>
        <w:t>)</w:t>
      </w:r>
      <w:r w:rsidR="002B757B">
        <w:rPr>
          <w:sz w:val="24"/>
          <w:szCs w:val="24"/>
        </w:rPr>
        <w:t xml:space="preserve"> </w:t>
      </w:r>
      <w:r w:rsidR="002B757B">
        <w:rPr>
          <w:sz w:val="24"/>
          <w:szCs w:val="24"/>
        </w:rPr>
        <w:t>format</w:t>
      </w:r>
      <w:r w:rsidR="002B757B">
        <w:rPr>
          <w:sz w:val="24"/>
          <w:szCs w:val="24"/>
        </w:rPr>
        <w:t>s</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(Wilkinson et al. 2016)</w:t>
      </w:r>
      <w:r w:rsidR="00F914D1">
        <w:rPr>
          <w:sz w:val="24"/>
          <w:szCs w:val="24"/>
        </w:rPr>
        <w:t>.</w:t>
      </w:r>
    </w:p>
    <w:p w14:paraId="534C5B82" w14:textId="67608B86" w:rsidR="00B85D97" w:rsidRDefault="00711CB0" w:rsidP="00C608F4">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w:t>
      </w:r>
      <w:r w:rsidR="006F7076">
        <w:rPr>
          <w:sz w:val="24"/>
          <w:szCs w:val="24"/>
        </w:rPr>
        <w:t xml:space="preserve">other </w:t>
      </w:r>
      <w:r>
        <w:rPr>
          <w:sz w:val="24"/>
          <w:szCs w:val="24"/>
        </w:rPr>
        <w:t xml:space="preserve">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0D03D4">
        <w:rPr>
          <w:sz w:val="24"/>
          <w:szCs w:val="24"/>
        </w:rPr>
        <w:t xml:space="preserve">It only requires node identifiers to be internally consistent to the file, without enforcing the use of IDs from a recognized biological database.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a kludge</w:t>
      </w:r>
      <w:r w:rsidR="00C608F4">
        <w:rPr>
          <w:sz w:val="24"/>
          <w:szCs w:val="24"/>
        </w:rPr>
        <w:t>, and including metadata impossible</w:t>
      </w:r>
      <w:r>
        <w:rPr>
          <w:sz w:val="24"/>
          <w:szCs w:val="24"/>
        </w:rPr>
        <w:t xml:space="preserve">.  </w:t>
      </w:r>
      <w:r w:rsidR="00C608F4">
        <w:rPr>
          <w:sz w:val="24"/>
          <w:szCs w:val="24"/>
        </w:rPr>
        <w:t>Moreover</w:t>
      </w:r>
      <w:r w:rsidR="00C608F4">
        <w:rPr>
          <w:sz w:val="24"/>
          <w:szCs w:val="24"/>
        </w:rPr>
        <w:t xml:space="preserve">, there is no controlled vocabulary for the relationship type, only a list of suggestions in the Cytoscape documentation, </w:t>
      </w:r>
      <w:r w:rsidR="00C608F4">
        <w:rPr>
          <w:sz w:val="24"/>
          <w:szCs w:val="24"/>
        </w:rPr>
        <w:lastRenderedPageBreak/>
        <w:t xml:space="preserve">from which we selected “pd”.  In practice, Cytoscape </w:t>
      </w:r>
      <w:r w:rsidR="00C608F4">
        <w:rPr>
          <w:sz w:val="24"/>
          <w:szCs w:val="24"/>
        </w:rPr>
        <w:t xml:space="preserve">3.4.0 </w:t>
      </w:r>
      <w:r w:rsidR="00C608F4">
        <w:rPr>
          <w:sz w:val="24"/>
          <w:szCs w:val="24"/>
        </w:rPr>
        <w:t>defaults to “interacts with” as the relationship type when exporting SIF files.</w:t>
      </w:r>
      <w:r w:rsidR="00C608F4">
        <w:rPr>
          <w:sz w:val="24"/>
          <w:szCs w:val="24"/>
        </w:rPr>
        <w:t xml:space="preserve">  </w:t>
      </w:r>
      <w:r w:rsidR="00B85D97">
        <w:rPr>
          <w:sz w:val="24"/>
          <w:szCs w:val="24"/>
        </w:rPr>
        <w:t xml:space="preserve">As a simple text format, it does not satisfy the three sub-principles of Interoperability </w:t>
      </w:r>
      <w:r w:rsidR="00B85D97" w:rsidRPr="001E1DC9">
        <w:rPr>
          <w:sz w:val="24"/>
          <w:szCs w:val="24"/>
          <w:highlight w:val="yellow"/>
        </w:rPr>
        <w:t>(Wilkinson et al. 2016)</w:t>
      </w:r>
      <w:r w:rsidR="00B85D97">
        <w:rPr>
          <w:sz w:val="24"/>
          <w:szCs w:val="24"/>
        </w:rPr>
        <w:t xml:space="preserve">.  </w:t>
      </w:r>
    </w:p>
    <w:p w14:paraId="13021910" w14:textId="1E84E044" w:rsidR="00CF6907" w:rsidRDefault="00257DCB" w:rsidP="0055169C">
      <w:pPr>
        <w:spacing w:before="240" w:after="240" w:line="480" w:lineRule="auto"/>
        <w:ind w:firstLine="720"/>
        <w:rPr>
          <w:sz w:val="24"/>
          <w:szCs w:val="24"/>
        </w:rPr>
      </w:pPr>
      <w:r>
        <w:rPr>
          <w:sz w:val="24"/>
          <w:szCs w:val="24"/>
        </w:rPr>
        <w:t xml:space="preserve">In contrast, </w:t>
      </w:r>
      <w:r w:rsidR="00711CB0" w:rsidRPr="00762685">
        <w:rPr>
          <w:sz w:val="24"/>
          <w:szCs w:val="24"/>
        </w:rPr>
        <w:t>GraphML</w:t>
      </w:r>
      <w:r>
        <w:rPr>
          <w:sz w:val="24"/>
          <w:szCs w:val="24"/>
        </w:rPr>
        <w:t>,</w:t>
      </w:r>
      <w:r w:rsidR="00711CB0" w:rsidRPr="00762685">
        <w:rPr>
          <w:sz w:val="24"/>
          <w:szCs w:val="24"/>
        </w:rPr>
        <w:t xml:space="preserve"> </w:t>
      </w:r>
      <w:r>
        <w:rPr>
          <w:sz w:val="24"/>
          <w:szCs w:val="24"/>
        </w:rPr>
        <w:t xml:space="preserve">as a richer XML format, has the potential to satisfy the Interoperability criteria. </w:t>
      </w:r>
      <w:r w:rsidR="005A19A0">
        <w:rPr>
          <w:sz w:val="24"/>
          <w:szCs w:val="24"/>
        </w:rPr>
        <w:t xml:space="preserve"> However, as with SIF, w</w:t>
      </w:r>
      <w:r w:rsidR="00711CB0">
        <w:rPr>
          <w:sz w:val="24"/>
          <w:szCs w:val="24"/>
        </w:rPr>
        <w:t xml:space="preserve">e encountered </w:t>
      </w:r>
      <w:r w:rsidR="005A19A0">
        <w:rPr>
          <w:sz w:val="24"/>
          <w:szCs w:val="24"/>
        </w:rPr>
        <w:t xml:space="preserve">issues due to the flexibility with </w:t>
      </w:r>
      <w:r w:rsidR="005A19A0" w:rsidRPr="00E909CC">
        <w:rPr>
          <w:sz w:val="24"/>
          <w:szCs w:val="24"/>
        </w:rPr>
        <w:t xml:space="preserve">which the format is specified.  </w:t>
      </w:r>
      <w:r w:rsidR="00E909CC" w:rsidRPr="00E909CC">
        <w:rPr>
          <w:sz w:val="24"/>
          <w:szCs w:val="24"/>
        </w:rPr>
        <w:t>GraphML standardizes only the representation of nodes and edges and their directions; all other characteristics, such as names, weights, and other values, are left for others to specify</w:t>
      </w:r>
      <w:r w:rsidR="006413B7">
        <w:rPr>
          <w:sz w:val="24"/>
          <w:szCs w:val="24"/>
        </w:rPr>
        <w:t xml:space="preserve"> through a </w:t>
      </w:r>
      <w:r w:rsidR="006413B7" w:rsidRPr="006413B7">
        <w:rPr>
          <w:i/>
          <w:sz w:val="24"/>
          <w:szCs w:val="24"/>
        </w:rPr>
        <w:t>key</w:t>
      </w:r>
      <w:r w:rsidR="006413B7">
        <w:rPr>
          <w:sz w:val="24"/>
          <w:szCs w:val="24"/>
        </w:rPr>
        <w:t xml:space="preserve"> element</w:t>
      </w:r>
      <w:r w:rsidR="0048038B">
        <w:rPr>
          <w:sz w:val="24"/>
          <w:szCs w:val="24"/>
        </w:rPr>
        <w:t>, which is not subject to a controlled vocabulary</w:t>
      </w:r>
      <w:r w:rsidR="00E909CC" w:rsidRPr="00E909CC">
        <w:rPr>
          <w:sz w:val="24"/>
          <w:szCs w:val="24"/>
        </w:rPr>
        <w:t>.  Although the flexibility is appreciated, flexibility also facilitates divergence</w:t>
      </w:r>
      <w:r w:rsidR="00E909CC">
        <w:rPr>
          <w:sz w:val="24"/>
          <w:szCs w:val="24"/>
        </w:rPr>
        <w:t xml:space="preserve">.  In particular, </w:t>
      </w:r>
      <w:r w:rsidR="00ED0C71">
        <w:rPr>
          <w:sz w:val="24"/>
          <w:szCs w:val="24"/>
        </w:rPr>
        <w:t xml:space="preserve">two </w:t>
      </w:r>
      <w:r w:rsidR="00E909CC">
        <w:rPr>
          <w:sz w:val="24"/>
          <w:szCs w:val="24"/>
        </w:rPr>
        <w:t xml:space="preserve">issues arose with interpreting the node identifier and display label.  </w:t>
      </w:r>
      <w:r w:rsidR="009F77B9">
        <w:rPr>
          <w:sz w:val="24"/>
          <w:szCs w:val="24"/>
        </w:rPr>
        <w:t>First, because of the lack of a controlled vocabulary, these are defined differently by different programs.  Second, i</w:t>
      </w:r>
      <w:r w:rsidR="00711CB0" w:rsidRPr="00E909CC">
        <w:rPr>
          <w:sz w:val="24"/>
          <w:szCs w:val="24"/>
        </w:rPr>
        <w:t>n the</w:t>
      </w:r>
      <w:r w:rsidR="00711CB0">
        <w:rPr>
          <w:sz w:val="24"/>
          <w:szCs w:val="24"/>
        </w:rPr>
        <w:t xml:space="preserve"> GRNsight-native Excel format, transcription factors must be unique in the </w:t>
      </w:r>
      <w:r w:rsidR="00D36248">
        <w:rPr>
          <w:sz w:val="24"/>
          <w:szCs w:val="24"/>
        </w:rPr>
        <w:t xml:space="preserve">header </w:t>
      </w:r>
      <w:r w:rsidR="00711CB0">
        <w:rPr>
          <w:sz w:val="24"/>
          <w:szCs w:val="24"/>
        </w:rPr>
        <w:t>column</w:t>
      </w:r>
      <w:r w:rsidR="00D36248">
        <w:rPr>
          <w:sz w:val="24"/>
          <w:szCs w:val="24"/>
        </w:rPr>
        <w:t>s</w:t>
      </w:r>
      <w:r w:rsidR="00711CB0">
        <w:rPr>
          <w:sz w:val="24"/>
          <w:szCs w:val="24"/>
        </w:rPr>
        <w:t xml:space="preserve"> and row</w:t>
      </w:r>
      <w:r w:rsidR="00D36248">
        <w:rPr>
          <w:sz w:val="24"/>
          <w:szCs w:val="24"/>
        </w:rPr>
        <w:t>s</w:t>
      </w:r>
      <w:r w:rsidR="00711CB0">
        <w:rPr>
          <w:sz w:val="24"/>
          <w:szCs w:val="24"/>
        </w:rPr>
        <w:t xml:space="preserve"> and serve both as a unique ID for that node and the node label.  In two implementations of GraphML import/export that we tested with Cytoscape</w:t>
      </w:r>
      <w:r w:rsidR="00D36248">
        <w:rPr>
          <w:sz w:val="24"/>
          <w:szCs w:val="24"/>
        </w:rPr>
        <w:t xml:space="preserve"> </w:t>
      </w:r>
      <w:r w:rsidR="0048038B">
        <w:rPr>
          <w:sz w:val="24"/>
          <w:szCs w:val="24"/>
        </w:rPr>
        <w:t>v</w:t>
      </w:r>
      <w:r w:rsidR="00D36248">
        <w:rPr>
          <w:sz w:val="24"/>
          <w:szCs w:val="24"/>
        </w:rPr>
        <w:t>3.4.0</w:t>
      </w:r>
      <w:r w:rsidR="00711CB0">
        <w:rPr>
          <w:sz w:val="24"/>
          <w:szCs w:val="24"/>
        </w:rPr>
        <w:t xml:space="preserve"> and </w:t>
      </w:r>
      <w:r w:rsidR="00D36248">
        <w:rPr>
          <w:sz w:val="24"/>
          <w:szCs w:val="24"/>
        </w:rPr>
        <w:t xml:space="preserve">a commercial graph editor called </w:t>
      </w:r>
      <w:r w:rsidR="00711CB0">
        <w:rPr>
          <w:sz w:val="24"/>
          <w:szCs w:val="24"/>
        </w:rPr>
        <w:t>yED</w:t>
      </w:r>
      <w:r w:rsidR="00D36248">
        <w:rPr>
          <w:sz w:val="24"/>
          <w:szCs w:val="24"/>
        </w:rPr>
        <w:t xml:space="preserve"> (</w:t>
      </w:r>
      <w:r w:rsidR="0048038B">
        <w:rPr>
          <w:sz w:val="24"/>
          <w:szCs w:val="24"/>
        </w:rPr>
        <w:t xml:space="preserve">v3.16, </w:t>
      </w:r>
      <w:r w:rsidR="00D36248" w:rsidRPr="00D36248">
        <w:rPr>
          <w:i/>
          <w:sz w:val="24"/>
          <w:szCs w:val="24"/>
        </w:rPr>
        <w:t>https://www.yworks.com/products/yed</w:t>
      </w:r>
      <w:r w:rsidR="009F77B9">
        <w:rPr>
          <w:sz w:val="24"/>
          <w:szCs w:val="24"/>
        </w:rPr>
        <w:t>)</w:t>
      </w:r>
      <w:r w:rsidR="00CF6907">
        <w:rPr>
          <w:sz w:val="24"/>
          <w:szCs w:val="24"/>
        </w:rPr>
        <w:t>, an internal node ID i</w:t>
      </w:r>
      <w:r w:rsidR="00711CB0">
        <w:rPr>
          <w:sz w:val="24"/>
          <w:szCs w:val="24"/>
        </w:rPr>
        <w:t xml:space="preserve">s </w:t>
      </w:r>
      <w:r w:rsidR="00D36248">
        <w:rPr>
          <w:sz w:val="24"/>
          <w:szCs w:val="24"/>
        </w:rPr>
        <w:t xml:space="preserve">assigned independently of </w:t>
      </w:r>
      <w:r w:rsidR="00711CB0">
        <w:rPr>
          <w:sz w:val="24"/>
          <w:szCs w:val="24"/>
        </w:rPr>
        <w:t xml:space="preserve">the node label and </w:t>
      </w:r>
      <w:r w:rsidR="00CF6907">
        <w:rPr>
          <w:sz w:val="24"/>
          <w:szCs w:val="24"/>
        </w:rPr>
        <w:t>i</w:t>
      </w:r>
      <w:r w:rsidR="00D36248">
        <w:rPr>
          <w:sz w:val="24"/>
          <w:szCs w:val="24"/>
        </w:rPr>
        <w:t xml:space="preserve">s </w:t>
      </w:r>
      <w:r w:rsidR="00711CB0">
        <w:rPr>
          <w:sz w:val="24"/>
          <w:szCs w:val="24"/>
        </w:rPr>
        <w:t xml:space="preserve">not editable by the user.  This leads to a situation where the </w:t>
      </w:r>
      <w:r w:rsidR="00021C2A">
        <w:rPr>
          <w:sz w:val="24"/>
          <w:szCs w:val="24"/>
        </w:rPr>
        <w:t xml:space="preserve">user could assign identical </w:t>
      </w:r>
      <w:r w:rsidR="00711CB0">
        <w:rPr>
          <w:sz w:val="24"/>
          <w:szCs w:val="24"/>
        </w:rPr>
        <w:t>label</w:t>
      </w:r>
      <w:r w:rsidR="00021C2A">
        <w:rPr>
          <w:sz w:val="24"/>
          <w:szCs w:val="24"/>
        </w:rPr>
        <w:t>s</w:t>
      </w:r>
      <w:r w:rsidR="00711CB0">
        <w:rPr>
          <w:sz w:val="24"/>
          <w:szCs w:val="24"/>
        </w:rPr>
        <w:t xml:space="preserve"> to </w:t>
      </w:r>
      <w:r w:rsidR="00021C2A">
        <w:rPr>
          <w:sz w:val="24"/>
          <w:szCs w:val="24"/>
        </w:rPr>
        <w:t>two or more nodes with different IDs, raising</w:t>
      </w:r>
      <w:r w:rsidR="00711CB0">
        <w:rPr>
          <w:sz w:val="24"/>
          <w:szCs w:val="24"/>
        </w:rPr>
        <w:t xml:space="preserve"> an issue for correct display of the network in GRNsight</w:t>
      </w:r>
      <w:r w:rsidR="006B54F2">
        <w:rPr>
          <w:sz w:val="24"/>
          <w:szCs w:val="24"/>
        </w:rPr>
        <w:t xml:space="preserve"> where node ID and node label are synonymous</w:t>
      </w:r>
      <w:r w:rsidR="00711CB0">
        <w:rPr>
          <w:sz w:val="24"/>
          <w:szCs w:val="24"/>
        </w:rPr>
        <w:t xml:space="preserve">.  </w:t>
      </w:r>
      <w:r w:rsidR="00CA2D76">
        <w:rPr>
          <w:sz w:val="24"/>
          <w:szCs w:val="24"/>
        </w:rPr>
        <w:t>GRNsight accommodates display of node labels from Cytoscape- and yED-exported GraphML by using a priority system to select among the elements it may encounter.  Finally, as with SIF</w:t>
      </w:r>
      <w:r w:rsidR="006413B7">
        <w:rPr>
          <w:sz w:val="24"/>
          <w:szCs w:val="24"/>
        </w:rPr>
        <w:t xml:space="preserve">, there is no enforcement of the </w:t>
      </w:r>
      <w:r w:rsidR="006413B7">
        <w:rPr>
          <w:sz w:val="24"/>
          <w:szCs w:val="24"/>
        </w:rPr>
        <w:t>use of IDs from a recognized biological database</w:t>
      </w:r>
      <w:r w:rsidR="00CA2D76">
        <w:rPr>
          <w:sz w:val="24"/>
          <w:szCs w:val="24"/>
        </w:rPr>
        <w:t xml:space="preserve">, even though the potential exists to at least specify the ID source </w:t>
      </w:r>
      <w:r w:rsidR="00ED0C71">
        <w:rPr>
          <w:sz w:val="24"/>
          <w:szCs w:val="24"/>
        </w:rPr>
        <w:t xml:space="preserve">(at least as a comment) </w:t>
      </w:r>
      <w:r w:rsidR="00CA2D76">
        <w:rPr>
          <w:sz w:val="24"/>
          <w:szCs w:val="24"/>
        </w:rPr>
        <w:t>in the XML</w:t>
      </w:r>
      <w:r w:rsidR="006413B7">
        <w:rPr>
          <w:sz w:val="24"/>
          <w:szCs w:val="24"/>
        </w:rPr>
        <w:t xml:space="preserve">.  </w:t>
      </w:r>
    </w:p>
    <w:p w14:paraId="737BDEB2" w14:textId="5A66585D" w:rsidR="00257DCB" w:rsidRDefault="00C97895" w:rsidP="000069C1">
      <w:pPr>
        <w:spacing w:before="240" w:after="240" w:line="480" w:lineRule="auto"/>
        <w:ind w:firstLine="720"/>
        <w:rPr>
          <w:sz w:val="24"/>
          <w:szCs w:val="24"/>
        </w:rPr>
      </w:pPr>
      <w:r>
        <w:rPr>
          <w:sz w:val="24"/>
          <w:szCs w:val="24"/>
        </w:rPr>
        <w:lastRenderedPageBreak/>
        <w:t xml:space="preserve">The format of a </w:t>
      </w:r>
      <w:r w:rsidR="009F77B9">
        <w:rPr>
          <w:sz w:val="24"/>
          <w:szCs w:val="24"/>
        </w:rPr>
        <w:t>GraphML export by GRNsight is described on the documentation page</w:t>
      </w:r>
      <w:r>
        <w:rPr>
          <w:sz w:val="24"/>
          <w:szCs w:val="24"/>
        </w:rPr>
        <w:t xml:space="preserve"> (</w:t>
      </w:r>
      <w:r w:rsidRPr="00C97895">
        <w:rPr>
          <w:i/>
          <w:sz w:val="24"/>
          <w:szCs w:val="24"/>
        </w:rPr>
        <w:t>http://dondi.github.io/GRNsight/documentation.html</w:t>
      </w:r>
      <w:r>
        <w:rPr>
          <w:sz w:val="24"/>
          <w:szCs w:val="24"/>
        </w:rPr>
        <w:t>)</w:t>
      </w:r>
      <w:r w:rsidR="009F77B9">
        <w:rPr>
          <w:sz w:val="24"/>
          <w:szCs w:val="24"/>
        </w:rPr>
        <w:t>.  In our testing, w</w:t>
      </w:r>
      <w:r w:rsidR="00762685">
        <w:rPr>
          <w:sz w:val="24"/>
          <w:szCs w:val="24"/>
        </w:rPr>
        <w:t xml:space="preserve">e </w:t>
      </w:r>
      <w:r w:rsidR="009F77B9">
        <w:rPr>
          <w:sz w:val="24"/>
          <w:szCs w:val="24"/>
        </w:rPr>
        <w:t>have ensured that GRnsight</w:t>
      </w:r>
      <w:r w:rsidR="00762685">
        <w:rPr>
          <w:sz w:val="24"/>
          <w:szCs w:val="24"/>
        </w:rPr>
        <w:t xml:space="preserve"> c</w:t>
      </w:r>
      <w:r w:rsidR="009F77B9">
        <w:rPr>
          <w:sz w:val="24"/>
          <w:szCs w:val="24"/>
        </w:rPr>
        <w:t>an</w:t>
      </w:r>
      <w:r w:rsidR="00762685">
        <w:rPr>
          <w:sz w:val="24"/>
          <w:szCs w:val="24"/>
        </w:rPr>
        <w:t xml:space="preserve"> read Cytoscape-</w:t>
      </w:r>
      <w:r w:rsidR="009F77B9">
        <w:rPr>
          <w:sz w:val="24"/>
          <w:szCs w:val="24"/>
        </w:rPr>
        <w:t xml:space="preserve"> and yED-</w:t>
      </w:r>
      <w:r w:rsidR="00762685">
        <w:rPr>
          <w:sz w:val="24"/>
          <w:szCs w:val="24"/>
        </w:rPr>
        <w:t xml:space="preserve">exported GraphML and that </w:t>
      </w:r>
      <w:r w:rsidR="00762685" w:rsidRPr="009F77B9">
        <w:rPr>
          <w:sz w:val="24"/>
          <w:szCs w:val="24"/>
        </w:rPr>
        <w:t xml:space="preserve">GRNsight-exported GraphML was accurately read by these two programs, but </w:t>
      </w:r>
      <w:r w:rsidR="009F77B9">
        <w:rPr>
          <w:sz w:val="24"/>
          <w:szCs w:val="24"/>
        </w:rPr>
        <w:t xml:space="preserve">we </w:t>
      </w:r>
      <w:r w:rsidR="0085209A" w:rsidRPr="009F77B9">
        <w:rPr>
          <w:sz w:val="24"/>
          <w:szCs w:val="24"/>
        </w:rPr>
        <w:t xml:space="preserve">cannot guarantee </w:t>
      </w:r>
      <w:r>
        <w:rPr>
          <w:sz w:val="24"/>
          <w:szCs w:val="24"/>
        </w:rPr>
        <w:t>I</w:t>
      </w:r>
      <w:r w:rsidR="009F77B9">
        <w:rPr>
          <w:sz w:val="24"/>
          <w:szCs w:val="24"/>
        </w:rPr>
        <w:t>nteroperability with</w:t>
      </w:r>
      <w:r w:rsidR="0085209A" w:rsidRPr="009F77B9">
        <w:rPr>
          <w:sz w:val="24"/>
          <w:szCs w:val="24"/>
        </w:rPr>
        <w:t xml:space="preserve"> other software.</w:t>
      </w:r>
      <w:r w:rsidR="009F77B9" w:rsidRPr="009F77B9">
        <w:rPr>
          <w:sz w:val="24"/>
          <w:szCs w:val="24"/>
        </w:rPr>
        <w:t xml:space="preserve">  </w:t>
      </w:r>
      <w:r w:rsidR="009F77B9">
        <w:rPr>
          <w:sz w:val="24"/>
          <w:szCs w:val="24"/>
        </w:rPr>
        <w:t>A</w:t>
      </w:r>
      <w:r w:rsidR="009F77B9" w:rsidRPr="009F77B9">
        <w:rPr>
          <w:sz w:val="24"/>
          <w:szCs w:val="24"/>
        </w:rPr>
        <w:t>ny issues that arise will need to be ad</w:t>
      </w:r>
      <w:r w:rsidR="009F77B9">
        <w:rPr>
          <w:sz w:val="24"/>
          <w:szCs w:val="24"/>
        </w:rPr>
        <w:t>dressed on a case-by-case basis through bug reports at our GitHub repository.</w:t>
      </w:r>
      <w:r w:rsidR="000069C1">
        <w:rPr>
          <w:sz w:val="24"/>
          <w:szCs w:val="24"/>
        </w:rPr>
        <w:t xml:space="preserve">  </w:t>
      </w:r>
      <w:r>
        <w:rPr>
          <w:sz w:val="24"/>
          <w:szCs w:val="24"/>
        </w:rPr>
        <w:t xml:space="preserve">Compliance with FAIR principles is facilitated by the </w:t>
      </w:r>
      <w:r w:rsidR="00257DCB" w:rsidRPr="00762685">
        <w:rPr>
          <w:sz w:val="24"/>
          <w:szCs w:val="24"/>
        </w:rPr>
        <w:t xml:space="preserve">biosharing.org registry of standards </w:t>
      </w:r>
      <w:r w:rsidR="00257DCB" w:rsidRPr="001E1DC9">
        <w:rPr>
          <w:sz w:val="24"/>
          <w:szCs w:val="24"/>
          <w:highlight w:val="yellow"/>
        </w:rPr>
        <w:t>(McQuilton</w:t>
      </w:r>
      <w:r w:rsidR="00257DCB">
        <w:rPr>
          <w:sz w:val="24"/>
          <w:szCs w:val="24"/>
          <w:highlight w:val="yellow"/>
        </w:rPr>
        <w:t xml:space="preserve"> et al. 2016)</w:t>
      </w:r>
      <w:r>
        <w:rPr>
          <w:sz w:val="24"/>
          <w:szCs w:val="24"/>
        </w:rPr>
        <w:t xml:space="preserve">.  As of this writing, GraphML is present in the registry, </w:t>
      </w:r>
      <w:r w:rsidR="00257DCB" w:rsidRPr="00762685">
        <w:rPr>
          <w:sz w:val="24"/>
          <w:szCs w:val="24"/>
        </w:rPr>
        <w:t>but as an unclaimed, automatically-generated</w:t>
      </w:r>
      <w:r w:rsidR="00257DCB">
        <w:rPr>
          <w:sz w:val="24"/>
          <w:szCs w:val="24"/>
        </w:rPr>
        <w:t xml:space="preserve"> entry.  </w:t>
      </w:r>
      <w:r w:rsidR="008059E5">
        <w:rPr>
          <w:sz w:val="24"/>
          <w:szCs w:val="24"/>
        </w:rPr>
        <w:t>There are a number of other formats for sharing network data</w:t>
      </w:r>
      <w:r w:rsidR="000069C1">
        <w:rPr>
          <w:sz w:val="24"/>
          <w:szCs w:val="24"/>
        </w:rPr>
        <w:t xml:space="preserve"> that are potentially more fully FAIR compliant.  </w:t>
      </w:r>
      <w:r w:rsidR="000069C1" w:rsidRPr="000D1255">
        <w:rPr>
          <w:sz w:val="24"/>
          <w:szCs w:val="24"/>
        </w:rPr>
        <w:t>However, the addition of each new format, while increasing the flexibility and power of the GRNsight software, would incur the cost of additional complexity</w:t>
      </w:r>
      <w:r w:rsidR="000D1255">
        <w:rPr>
          <w:sz w:val="24"/>
          <w:szCs w:val="24"/>
        </w:rPr>
        <w:t xml:space="preserve"> (</w:t>
      </w:r>
      <w:r w:rsidR="000D1255" w:rsidRPr="000D1255">
        <w:rPr>
          <w:i/>
          <w:sz w:val="24"/>
          <w:szCs w:val="24"/>
        </w:rPr>
        <w:t>http://boxesandarrows.com/complexity-and-user-experience/</w:t>
      </w:r>
      <w:r w:rsidR="000D1255">
        <w:rPr>
          <w:sz w:val="24"/>
          <w:szCs w:val="24"/>
        </w:rPr>
        <w:t>)</w:t>
      </w:r>
      <w:r w:rsidR="000069C1" w:rsidRPr="000D1255">
        <w:rPr>
          <w:sz w:val="24"/>
          <w:szCs w:val="24"/>
        </w:rPr>
        <w:t xml:space="preserve">. </w:t>
      </w:r>
      <w:r w:rsidR="000D1255" w:rsidRPr="000D1255">
        <w:rPr>
          <w:sz w:val="24"/>
          <w:szCs w:val="24"/>
        </w:rPr>
        <w:t xml:space="preserve"> This is a corollary of “one thing well”</w:t>
      </w:r>
      <w:r w:rsidR="000069C1" w:rsidRPr="000D1255">
        <w:rPr>
          <w:sz w:val="24"/>
          <w:szCs w:val="24"/>
        </w:rPr>
        <w:t xml:space="preserve"> and is, for example, one reason why </w:t>
      </w:r>
      <w:r w:rsidR="009525FA">
        <w:rPr>
          <w:sz w:val="24"/>
          <w:szCs w:val="24"/>
        </w:rPr>
        <w:t xml:space="preserve">the complex </w:t>
      </w:r>
      <w:r w:rsidR="000069C1" w:rsidRPr="000D1255">
        <w:rPr>
          <w:sz w:val="24"/>
          <w:szCs w:val="24"/>
        </w:rPr>
        <w:t xml:space="preserve">Cytoscape </w:t>
      </w:r>
      <w:r w:rsidR="009525FA">
        <w:rPr>
          <w:sz w:val="24"/>
          <w:szCs w:val="24"/>
        </w:rPr>
        <w:t xml:space="preserve">stand-alone application </w:t>
      </w:r>
      <w:r w:rsidR="000069C1" w:rsidRPr="000D1255">
        <w:rPr>
          <w:sz w:val="24"/>
          <w:szCs w:val="24"/>
        </w:rPr>
        <w:t xml:space="preserve">did not fit our </w:t>
      </w:r>
      <w:r w:rsidR="000D1255">
        <w:rPr>
          <w:sz w:val="24"/>
          <w:szCs w:val="24"/>
        </w:rPr>
        <w:t xml:space="preserve">initial </w:t>
      </w:r>
      <w:r w:rsidR="009A3E19">
        <w:rPr>
          <w:sz w:val="24"/>
          <w:szCs w:val="24"/>
        </w:rPr>
        <w:t>product requirements</w:t>
      </w:r>
      <w:r w:rsidR="000069C1" w:rsidRPr="000D1255">
        <w:rPr>
          <w:sz w:val="24"/>
          <w:szCs w:val="24"/>
        </w:rPr>
        <w:t xml:space="preserve">. </w:t>
      </w:r>
      <w:r w:rsidR="00A57135">
        <w:rPr>
          <w:sz w:val="24"/>
          <w:szCs w:val="24"/>
        </w:rPr>
        <w:t xml:space="preserve"> As demonstrated by our tests with Cytoscape- and yED-exported GraphML, the rule that </w:t>
      </w:r>
      <w:r w:rsidR="00A57135">
        <w:rPr>
          <w:sz w:val="24"/>
          <w:szCs w:val="24"/>
        </w:rPr>
        <w:t xml:space="preserve">“95% of bioinformatics is getting your </w:t>
      </w:r>
      <w:r w:rsidR="00A57135">
        <w:rPr>
          <w:sz w:val="24"/>
          <w:szCs w:val="24"/>
        </w:rPr>
        <w:t>data into the right file format</w:t>
      </w:r>
      <w:r w:rsidR="00A57135">
        <w:rPr>
          <w:sz w:val="24"/>
          <w:szCs w:val="24"/>
        </w:rPr>
        <w:t>”</w:t>
      </w:r>
      <w:r w:rsidR="00A57135">
        <w:rPr>
          <w:sz w:val="24"/>
          <w:szCs w:val="24"/>
        </w:rPr>
        <w:t xml:space="preserve"> cannot entirely be avoided by developers or users.</w:t>
      </w:r>
    </w:p>
    <w:p w14:paraId="24E26BB0" w14:textId="6E63C97F" w:rsidR="0035626F" w:rsidRPr="008059E5" w:rsidRDefault="0035626F" w:rsidP="008059E5">
      <w:pPr>
        <w:pStyle w:val="Heading4"/>
        <w:rPr>
          <w:rFonts w:ascii="Times New Roman" w:hAnsi="Times New Roman" w:cs="Times New Roman"/>
          <w:color w:val="000000" w:themeColor="text1"/>
        </w:rPr>
      </w:pPr>
      <w:r w:rsidRPr="008059E5">
        <w:rPr>
          <w:rFonts w:ascii="Times New Roman" w:hAnsi="Times New Roman" w:cs="Times New Roman"/>
          <w:color w:val="000000" w:themeColor="text1"/>
        </w:rPr>
        <w:t>Reusable</w:t>
      </w:r>
    </w:p>
    <w:p w14:paraId="1AF984ED" w14:textId="444F0196" w:rsidR="00C3737D" w:rsidRDefault="005C5320" w:rsidP="005C5320">
      <w:pPr>
        <w:spacing w:before="240" w:after="240" w:line="480" w:lineRule="auto"/>
        <w:ind w:firstLine="720"/>
        <w:rPr>
          <w:sz w:val="24"/>
          <w:szCs w:val="24"/>
        </w:rPr>
      </w:pPr>
      <w:r>
        <w:rPr>
          <w:sz w:val="24"/>
          <w:szCs w:val="24"/>
        </w:rPr>
        <w:t>The FAIR principles state that metadata and data should be richly described with a plurality of accurate and relevant attributes, released with a clear and accessible usage license, associated with a detailed provenance, and meet domain-relevant community standards.  As software, GRNsight is R</w:t>
      </w:r>
      <w:r w:rsidR="00212AC2">
        <w:rPr>
          <w:sz w:val="24"/>
          <w:szCs w:val="24"/>
        </w:rPr>
        <w:t>eusable because the code is available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w:t>
      </w:r>
      <w:r>
        <w:rPr>
          <w:sz w:val="24"/>
          <w:szCs w:val="24"/>
        </w:rPr>
        <w:lastRenderedPageBreak/>
        <w:t>data, the criteria for R</w:t>
      </w:r>
      <w:r w:rsidR="0085209A">
        <w:rPr>
          <w:sz w:val="24"/>
          <w:szCs w:val="24"/>
        </w:rPr>
        <w:t>eu</w:t>
      </w:r>
      <w:r>
        <w:rPr>
          <w:sz w:val="24"/>
          <w:szCs w:val="24"/>
        </w:rPr>
        <w:t>sability are closely linked to I</w:t>
      </w:r>
      <w:r w:rsidR="0085209A">
        <w:rPr>
          <w:sz w:val="24"/>
          <w:szCs w:val="24"/>
        </w:rPr>
        <w:t>nteroperability.</w:t>
      </w:r>
      <w:r>
        <w:rPr>
          <w:sz w:val="24"/>
          <w:szCs w:val="24"/>
        </w:rPr>
        <w:t xml:space="preserve">  While the </w:t>
      </w:r>
      <w:r w:rsidR="0085209A">
        <w:rPr>
          <w:sz w:val="24"/>
          <w:szCs w:val="24"/>
        </w:rPr>
        <w:t>GraphML format is c</w:t>
      </w:r>
      <w:r>
        <w:rPr>
          <w:sz w:val="24"/>
          <w:szCs w:val="24"/>
        </w:rPr>
        <w:t xml:space="preserve">apable of storing metadata, </w:t>
      </w:r>
      <w:r w:rsidR="0085209A">
        <w:rPr>
          <w:sz w:val="24"/>
          <w:szCs w:val="24"/>
        </w:rPr>
        <w:t xml:space="preserve">the limitations described above in terms of a lack of controlled vocabulary 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w:t>
      </w:r>
      <w:r w:rsidR="005E4193">
        <w:rPr>
          <w:sz w:val="24"/>
          <w:szCs w:val="24"/>
        </w:rPr>
        <w:t xml:space="preserve">that it exports </w:t>
      </w:r>
      <w:r w:rsidR="0085209A">
        <w:rPr>
          <w:sz w:val="24"/>
          <w:szCs w:val="24"/>
        </w:rPr>
        <w:t xml:space="preserve">recording what version of GRNsight exported the </w:t>
      </w:r>
      <w:r w:rsidR="0085209A" w:rsidRPr="005C5320">
        <w:rPr>
          <w:sz w:val="24"/>
          <w:szCs w:val="24"/>
        </w:rPr>
        <w:t>data</w:t>
      </w:r>
      <w:r w:rsidRPr="005C5320">
        <w:rPr>
          <w:sz w:val="24"/>
          <w:szCs w:val="24"/>
        </w:rPr>
        <w:t xml:space="preserve"> (as does yED v3.16, but not Cytoscape v3.4.0)</w:t>
      </w:r>
      <w:r w:rsidR="0085209A" w:rsidRPr="005C5320">
        <w:rPr>
          <w:sz w:val="24"/>
          <w:szCs w:val="24"/>
        </w:rPr>
        <w:t>.</w:t>
      </w:r>
      <w:r w:rsidRPr="005C5320">
        <w:rPr>
          <w:sz w:val="24"/>
          <w:szCs w:val="24"/>
        </w:rPr>
        <w:t xml:space="preserve">  We also note that t</w:t>
      </w:r>
      <w:r w:rsidR="00C3737D" w:rsidRPr="005C5320">
        <w:rPr>
          <w:sz w:val="24"/>
          <w:szCs w:val="24"/>
        </w:rPr>
        <w:t xml:space="preserve">he GRNmap </w:t>
      </w:r>
      <w:r w:rsidRPr="005C5320">
        <w:rPr>
          <w:sz w:val="24"/>
          <w:szCs w:val="24"/>
        </w:rPr>
        <w:t xml:space="preserve">Excel workbook </w:t>
      </w:r>
      <w:r w:rsidR="00C3737D" w:rsidRPr="005C5320">
        <w:rPr>
          <w:sz w:val="24"/>
          <w:szCs w:val="24"/>
        </w:rPr>
        <w:t xml:space="preserve">format with multiple worksheets has the potential to record </w:t>
      </w:r>
      <w:r w:rsidRPr="005C5320">
        <w:rPr>
          <w:sz w:val="24"/>
          <w:szCs w:val="24"/>
        </w:rPr>
        <w:t xml:space="preserve">both </w:t>
      </w:r>
      <w:r w:rsidR="00C3737D" w:rsidRPr="005C5320">
        <w:rPr>
          <w:sz w:val="24"/>
          <w:szCs w:val="24"/>
        </w:rPr>
        <w:t>metadata</w:t>
      </w:r>
      <w:r w:rsidRPr="005C5320">
        <w:rPr>
          <w:sz w:val="24"/>
          <w:szCs w:val="24"/>
        </w:rPr>
        <w:t xml:space="preserve"> and provenance</w:t>
      </w:r>
      <w:r w:rsidR="00C3737D" w:rsidRPr="005C5320">
        <w:rPr>
          <w:sz w:val="24"/>
          <w:szCs w:val="24"/>
        </w:rPr>
        <w:t>, although it is not implemented at this time.</w:t>
      </w:r>
    </w:p>
    <w:p w14:paraId="342659A4" w14:textId="72777A12" w:rsidR="0085209A" w:rsidRDefault="0085209A" w:rsidP="0035626F">
      <w:pPr>
        <w:spacing w:before="240" w:after="240" w:line="480" w:lineRule="auto"/>
        <w:ind w:firstLine="720"/>
        <w:rPr>
          <w:sz w:val="24"/>
          <w:szCs w:val="24"/>
        </w:rPr>
      </w:pPr>
      <w:r>
        <w:rPr>
          <w:sz w:val="24"/>
          <w:szCs w:val="24"/>
        </w:rPr>
        <w:t>FAIR Guiding Principles have only recently been published</w:t>
      </w:r>
      <w:r w:rsidR="005C5320">
        <w:rPr>
          <w:sz w:val="24"/>
          <w:szCs w:val="24"/>
        </w:rPr>
        <w:t xml:space="preserve"> (Wilkinson et al. 2016)</w:t>
      </w:r>
      <w:r w:rsidR="005E4193">
        <w:rPr>
          <w:sz w:val="24"/>
          <w:szCs w:val="24"/>
        </w:rPr>
        <w:t xml:space="preserve">; </w:t>
      </w:r>
      <w:r>
        <w:rPr>
          <w:sz w:val="24"/>
          <w:szCs w:val="24"/>
        </w:rPr>
        <w:t>this may be the first discussion of how to explicit</w:t>
      </w:r>
      <w:r w:rsidR="005E4193">
        <w:rPr>
          <w:sz w:val="24"/>
          <w:szCs w:val="24"/>
        </w:rPr>
        <w:t>l</w:t>
      </w:r>
      <w:r>
        <w:rPr>
          <w:sz w:val="24"/>
          <w:szCs w:val="24"/>
        </w:rPr>
        <w:t xml:space="preserve">y apply them to software.  </w:t>
      </w:r>
      <w:r w:rsidR="005E4193">
        <w:rPr>
          <w:sz w:val="24"/>
          <w:szCs w:val="24"/>
        </w:rPr>
        <w:t xml:space="preserve">Although </w:t>
      </w:r>
      <w:r>
        <w:rPr>
          <w:sz w:val="24"/>
          <w:szCs w:val="24"/>
        </w:rPr>
        <w:t xml:space="preserve">GRNsight has </w:t>
      </w:r>
      <w:r w:rsidR="005C5320">
        <w:rPr>
          <w:sz w:val="24"/>
          <w:szCs w:val="24"/>
        </w:rPr>
        <w:t xml:space="preserve">the </w:t>
      </w:r>
      <w:r>
        <w:rPr>
          <w:sz w:val="24"/>
          <w:szCs w:val="24"/>
        </w:rPr>
        <w:t>limitations listed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w:t>
      </w:r>
      <w:r w:rsidRPr="00F23987">
        <w:rPr>
          <w:sz w:val="24"/>
          <w:szCs w:val="24"/>
        </w:rPr>
        <w:lastRenderedPageBreak/>
        <w:t>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Finally, we thank Manu</w:t>
      </w:r>
      <w:r w:rsidR="008E2952">
        <w:rPr>
          <w:sz w:val="24"/>
          <w:szCs w:val="24"/>
        </w:rPr>
        <w:t>e</w:t>
      </w:r>
      <w:bookmarkStart w:id="0" w:name="_GoBack"/>
      <w:bookmarkEnd w:id="0"/>
      <w:r w:rsidR="006C2FA4">
        <w:rPr>
          <w:sz w:val="24"/>
          <w:szCs w:val="24"/>
        </w:rPr>
        <w:t xml:space="preserve">l Corpas and an anonymous reviewer for suggestions that have improved both the GRNsight code and </w:t>
      </w:r>
      <w:r w:rsidR="00126AC1">
        <w:rPr>
          <w:sz w:val="24"/>
          <w:szCs w:val="24"/>
        </w:rPr>
        <w:t xml:space="preserve">this </w:t>
      </w:r>
      <w:r w:rsidR="006C2FA4">
        <w:rPr>
          <w:sz w:val="24"/>
          <w:szCs w:val="24"/>
        </w:rPr>
        <w:t>manuscript.</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65476896" w14:textId="56474193" w:rsidR="00634CD1" w:rsidRPr="00F23987" w:rsidRDefault="00634CD1" w:rsidP="00BB6C88">
      <w:pPr>
        <w:widowControl w:val="0"/>
        <w:autoSpaceDE w:val="0"/>
        <w:autoSpaceDN w:val="0"/>
        <w:adjustRightInd w:val="0"/>
        <w:spacing w:line="480" w:lineRule="auto"/>
        <w:ind w:left="360" w:hanging="360"/>
        <w:rPr>
          <w:rFonts w:cs="Times New Roman"/>
          <w:sz w:val="24"/>
          <w:szCs w:val="24"/>
        </w:rPr>
      </w:pPr>
      <w:r w:rsidRPr="001E1DC9">
        <w:rPr>
          <w:sz w:val="24"/>
          <w:szCs w:val="24"/>
          <w:highlight w:val="yellow"/>
        </w:rPr>
        <w:t xml:space="preserve">Brandes, U., Eiglsperger, M., Herman, I., Himsolt, M., &amp; Marshall, M. S. (2001, September). GraphML progress report structural layer proposal. In </w:t>
      </w:r>
      <w:r w:rsidRPr="001E1DC9">
        <w:rPr>
          <w:i/>
          <w:iCs/>
          <w:sz w:val="24"/>
          <w:szCs w:val="24"/>
          <w:highlight w:val="yellow"/>
        </w:rPr>
        <w:t xml:space="preserve">International Symposium on Graph </w:t>
      </w:r>
      <w:r w:rsidRPr="001E1DC9">
        <w:rPr>
          <w:i/>
          <w:iCs/>
          <w:sz w:val="24"/>
          <w:szCs w:val="24"/>
          <w:highlight w:val="yellow"/>
        </w:rPr>
        <w:lastRenderedPageBreak/>
        <w:t>Drawing</w:t>
      </w:r>
      <w:r w:rsidRPr="001E1DC9">
        <w:rPr>
          <w:sz w:val="24"/>
          <w:szCs w:val="24"/>
          <w:highlight w:val="yellow"/>
        </w:rPr>
        <w:t xml:space="preserve"> (pp. 501-512). Springer Berlin Heidelberg</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17DA172D" w14:textId="7A4944E2" w:rsidR="00BD5061" w:rsidRDefault="00BD5061" w:rsidP="00BB6C88">
      <w:pPr>
        <w:widowControl w:val="0"/>
        <w:autoSpaceDE w:val="0"/>
        <w:autoSpaceDN w:val="0"/>
        <w:adjustRightInd w:val="0"/>
        <w:spacing w:line="480" w:lineRule="auto"/>
        <w:ind w:left="360" w:hanging="360"/>
        <w:rPr>
          <w:sz w:val="24"/>
          <w:szCs w:val="24"/>
          <w:highlight w:val="yellow"/>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a</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J):1637 (slides) (doi: </w:t>
      </w:r>
      <w:hyperlink r:id="rId8" w:tgtFrame="_blank" w:history="1">
        <w:r w:rsidRPr="00322BF8">
          <w:rPr>
            <w:rStyle w:val="Hyperlink"/>
            <w:sz w:val="24"/>
            <w:szCs w:val="24"/>
            <w:highlight w:val="yellow"/>
          </w:rPr>
          <w:t>10.7490/f1000research.1112534.1</w:t>
        </w:r>
      </w:hyperlink>
    </w:p>
    <w:p w14:paraId="73CF226F" w14:textId="14D39976" w:rsidR="00BD5061" w:rsidRDefault="00BD5061" w:rsidP="00BB6C88">
      <w:pPr>
        <w:widowControl w:val="0"/>
        <w:autoSpaceDE w:val="0"/>
        <w:autoSpaceDN w:val="0"/>
        <w:adjustRightInd w:val="0"/>
        <w:spacing w:line="480" w:lineRule="auto"/>
        <w:ind w:left="360" w:hanging="360"/>
        <w:rPr>
          <w:rFonts w:cs="Times New Roman"/>
          <w:sz w:val="24"/>
          <w:szCs w:val="24"/>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b</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J):1618 (poster) (doi: </w:t>
      </w:r>
      <w:hyperlink r:id="rId9" w:tgtFrame="_blank" w:history="1">
        <w:r w:rsidRPr="00322BF8">
          <w:rPr>
            <w:rStyle w:val="Hyperlink"/>
            <w:sz w:val="24"/>
            <w:szCs w:val="24"/>
            <w:highlight w:val="yellow"/>
          </w:rPr>
          <w:t>10.7490/f1000research.1112518.1</w:t>
        </w:r>
      </w:hyperlink>
      <w:r w:rsidRPr="00322BF8">
        <w:rPr>
          <w:sz w:val="24"/>
          <w:szCs w:val="24"/>
          <w:highlight w:val="yellow"/>
        </w:rPr>
        <w:t>))</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Default="00C173E6" w:rsidP="006E3908">
      <w:pPr>
        <w:spacing w:line="480" w:lineRule="auto"/>
        <w:ind w:left="360" w:hanging="390"/>
        <w:rPr>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55DD2820" w14:textId="6AFA1B0D" w:rsidR="003D6318" w:rsidRPr="00830A22" w:rsidRDefault="003D6318" w:rsidP="006E3908">
      <w:pPr>
        <w:spacing w:line="480" w:lineRule="auto"/>
        <w:ind w:left="360" w:hanging="390"/>
        <w:rPr>
          <w:rFonts w:eastAsia="Times New Roman"/>
          <w:sz w:val="24"/>
          <w:szCs w:val="24"/>
        </w:rPr>
      </w:pPr>
      <w:r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Pr="001E1DC9">
        <w:rPr>
          <w:i/>
          <w:iCs/>
          <w:sz w:val="24"/>
          <w:szCs w:val="24"/>
          <w:highlight w:val="yellow"/>
        </w:rPr>
        <w:t>Database</w:t>
      </w:r>
      <w:r w:rsidRPr="001E1DC9">
        <w:rPr>
          <w:sz w:val="24"/>
          <w:szCs w:val="24"/>
          <w:highlight w:val="yellow"/>
        </w:rPr>
        <w:t xml:space="preserve">, </w:t>
      </w:r>
      <w:r w:rsidRPr="001E1DC9">
        <w:rPr>
          <w:i/>
          <w:iCs/>
          <w:sz w:val="24"/>
          <w:szCs w:val="24"/>
          <w:highlight w:val="yellow"/>
        </w:rPr>
        <w:t>2016</w:t>
      </w:r>
      <w:r w:rsidRPr="001E1DC9">
        <w:rPr>
          <w:sz w:val="24"/>
          <w:szCs w:val="24"/>
          <w:highlight w:val="yellow"/>
        </w:rPr>
        <w:t>, baw075.</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w:t>
      </w:r>
      <w:r>
        <w:rPr>
          <w:rFonts w:cs="Times New Roman"/>
          <w:sz w:val="24"/>
          <w:szCs w:val="24"/>
        </w:rPr>
        <w:lastRenderedPageBreak/>
        <w:t xml:space="preserve">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10"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1"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8D507" w14:textId="77777777" w:rsidR="008259A3" w:rsidRDefault="008259A3" w:rsidP="00C60395">
      <w:r>
        <w:separator/>
      </w:r>
    </w:p>
  </w:endnote>
  <w:endnote w:type="continuationSeparator" w:id="0">
    <w:p w14:paraId="343D6624" w14:textId="77777777" w:rsidR="008259A3" w:rsidRDefault="008259A3"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8E2952">
          <w:rPr>
            <w:noProof/>
          </w:rPr>
          <w:t>35</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532CD" w14:textId="77777777" w:rsidR="008259A3" w:rsidRDefault="008259A3" w:rsidP="00C60395">
      <w:r>
        <w:separator/>
      </w:r>
    </w:p>
  </w:footnote>
  <w:footnote w:type="continuationSeparator" w:id="0">
    <w:p w14:paraId="40B030A6" w14:textId="77777777" w:rsidR="008259A3" w:rsidRDefault="008259A3"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9080F"/>
    <w:rsid w:val="00691545"/>
    <w:rsid w:val="00692CDC"/>
    <w:rsid w:val="006937A1"/>
    <w:rsid w:val="00694AA3"/>
    <w:rsid w:val="00696411"/>
    <w:rsid w:val="00697944"/>
    <w:rsid w:val="006A1C6A"/>
    <w:rsid w:val="006A1D89"/>
    <w:rsid w:val="006A2B7F"/>
    <w:rsid w:val="006A3849"/>
    <w:rsid w:val="006A3B2F"/>
    <w:rsid w:val="006A3DD4"/>
    <w:rsid w:val="006A6361"/>
    <w:rsid w:val="006A6B4B"/>
    <w:rsid w:val="006B1A55"/>
    <w:rsid w:val="006B24CC"/>
    <w:rsid w:val="006B349B"/>
    <w:rsid w:val="006B35A6"/>
    <w:rsid w:val="006B379E"/>
    <w:rsid w:val="006B3BAB"/>
    <w:rsid w:val="006B54F2"/>
    <w:rsid w:val="006B7EC9"/>
    <w:rsid w:val="006C0C3A"/>
    <w:rsid w:val="006C1F9C"/>
    <w:rsid w:val="006C27DB"/>
    <w:rsid w:val="006C2865"/>
    <w:rsid w:val="006C2EE5"/>
    <w:rsid w:val="006C2FA4"/>
    <w:rsid w:val="006C3822"/>
    <w:rsid w:val="006C5787"/>
    <w:rsid w:val="006C6629"/>
    <w:rsid w:val="006C6B2E"/>
    <w:rsid w:val="006C73E8"/>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674"/>
    <w:rsid w:val="00C36781"/>
    <w:rsid w:val="00C36973"/>
    <w:rsid w:val="00C371BF"/>
    <w:rsid w:val="00C3737D"/>
    <w:rsid w:val="00C40F3D"/>
    <w:rsid w:val="00C4347B"/>
    <w:rsid w:val="00C47406"/>
    <w:rsid w:val="00C5006F"/>
    <w:rsid w:val="00C50D63"/>
    <w:rsid w:val="00C51B75"/>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3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di.github.io/GRNsigh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0-9613921-4-2" TargetMode="External"/><Relationship Id="rId5" Type="http://schemas.openxmlformats.org/officeDocument/2006/relationships/footnotes" Target="footnotes.xml"/><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dx.doi.org/10.7490/f1000research.111251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35</Pages>
  <Words>9485</Words>
  <Characters>54066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161</cp:revision>
  <cp:lastPrinted>2016-05-16T20:13:00Z</cp:lastPrinted>
  <dcterms:created xsi:type="dcterms:W3CDTF">2016-05-18T20:14:00Z</dcterms:created>
  <dcterms:modified xsi:type="dcterms:W3CDTF">2016-08-13T19:52:00Z</dcterms:modified>
</cp:coreProperties>
</file>