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17EC1FEA"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Chai assertion library consists of over </w:t>
      </w:r>
      <w:r w:rsidRPr="00B57888">
        <w:rPr>
          <w:sz w:val="24"/>
          <w:szCs w:val="24"/>
          <w:highlight w:val="yellow"/>
        </w:rPr>
        <w:t>130</w:t>
      </w:r>
      <w:r w:rsidRPr="002B2DCB">
        <w:rPr>
          <w:sz w:val="24"/>
          <w:szCs w:val="24"/>
        </w:rPr>
        <w:t xml:space="preserve"> automat</w:t>
      </w:r>
      <w:r>
        <w:rPr>
          <w:sz w:val="24"/>
          <w:szCs w:val="24"/>
        </w:rPr>
        <w:t>ed unit tests that examine over</w:t>
      </w:r>
      <w:r w:rsidRPr="002B2DCB">
        <w:rPr>
          <w:sz w:val="24"/>
          <w:szCs w:val="24"/>
        </w:rPr>
        <w:t xml:space="preserve"> </w:t>
      </w:r>
      <w:r w:rsidRPr="00B57888">
        <w:rPr>
          <w:sz w:val="24"/>
          <w:szCs w:val="24"/>
          <w:highlight w:val="yellow"/>
        </w:rPr>
        <w:t>520</w:t>
      </w:r>
      <w:r w:rsidRPr="002B2DCB">
        <w:rPr>
          <w:sz w:val="24"/>
          <w:szCs w:val="24"/>
        </w:rPr>
        <w:t xml:space="preserve"> test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0FB9B98D" w:rsidR="008B7E11" w:rsidRDefault="00F342E4" w:rsidP="008B7E11">
      <w:pPr>
        <w:spacing w:before="240" w:after="240" w:line="480" w:lineRule="auto"/>
        <w:ind w:firstLine="720"/>
        <w:rPr>
          <w:rFonts w:cs="Times New Roman"/>
          <w:sz w:val="24"/>
          <w:szCs w:val="24"/>
        </w:rPr>
      </w:pPr>
      <w:r w:rsidRPr="00C762CE">
        <w:rPr>
          <w:rFonts w:cs="Times New Roman"/>
          <w:sz w:val="24"/>
          <w:szCs w:val="24"/>
          <w:highlight w:val="yellow"/>
        </w:rPr>
        <w:t xml:space="preserve">To increase the interoperability of GRNsight with other network analysis and visualization software, we have recently implemented the ability to import and display Simple Interaction Format (SIF, .sif, </w:t>
      </w:r>
      <w:r w:rsidRPr="00C762CE">
        <w:rPr>
          <w:rFonts w:cs="Times New Roman"/>
          <w:i/>
          <w:sz w:val="24"/>
          <w:szCs w:val="24"/>
          <w:highlight w:val="yellow"/>
        </w:rPr>
        <w:t>http://manual.cytoscape.org/en/stable/Supported_Network_File_Formats.html#sif-format</w:t>
      </w:r>
      <w:r w:rsidRPr="00C762CE">
        <w:rPr>
          <w:rFonts w:cs="Times New Roman"/>
          <w:sz w:val="24"/>
          <w:szCs w:val="24"/>
          <w:highlight w:val="yellow"/>
        </w:rPr>
        <w:t xml:space="preserve">) and Graph Markup Language (GraphML, .graphml, </w:t>
      </w:r>
      <w:r w:rsidRPr="00C762CE">
        <w:rPr>
          <w:rFonts w:cs="Times New Roman"/>
          <w:i/>
          <w:sz w:val="24"/>
          <w:szCs w:val="24"/>
          <w:highlight w:val="yellow"/>
        </w:rPr>
        <w:t>http://graphml.graphdrawing.org/</w:t>
      </w:r>
      <w:r w:rsidRPr="00C762CE">
        <w:rPr>
          <w:rFonts w:cs="Times New Roman"/>
          <w:sz w:val="24"/>
          <w:szCs w:val="24"/>
          <w:highlight w:val="yellow"/>
        </w:rPr>
        <w:t>) files and to export network data in those two formats</w:t>
      </w:r>
      <w:r w:rsidR="00C762CE">
        <w:rPr>
          <w:rFonts w:cs="Times New Roman"/>
          <w:sz w:val="24"/>
          <w:szCs w:val="24"/>
          <w:highlight w:val="yellow"/>
        </w:rPr>
        <w:t xml:space="preserve"> (See Results and Discussion)</w:t>
      </w:r>
      <w:r w:rsidRPr="00C762CE">
        <w:rPr>
          <w:rFonts w:cs="Times New Roman"/>
          <w:sz w:val="24"/>
          <w:szCs w:val="24"/>
          <w:highlight w:val="yellow"/>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w:t>
      </w:r>
      <w:r w:rsidR="00FD7CCA">
        <w:rPr>
          <w:sz w:val="24"/>
          <w:szCs w:val="24"/>
        </w:rPr>
        <w:lastRenderedPageBreak/>
        <w:t xml:space="preserve">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w:t>
      </w:r>
      <w:r w:rsidR="0078020C" w:rsidRPr="0078020C">
        <w:rPr>
          <w:sz w:val="24"/>
          <w:szCs w:val="24"/>
        </w:rPr>
        <w:lastRenderedPageBreak/>
        <w:t>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lastRenderedPageBreak/>
        <w:t>Test-driven Development</w:t>
      </w:r>
    </w:p>
    <w:p w14:paraId="22CF1086" w14:textId="2E32781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over </w:t>
      </w:r>
      <w:r w:rsidR="00BE0AF2" w:rsidRPr="00F23987">
        <w:rPr>
          <w:sz w:val="24"/>
          <w:szCs w:val="24"/>
        </w:rPr>
        <w:t xml:space="preserve">130 </w:t>
      </w:r>
      <w:r w:rsidR="003314BA" w:rsidRPr="00F23987">
        <w:rPr>
          <w:sz w:val="24"/>
          <w:szCs w:val="24"/>
        </w:rPr>
        <w:t xml:space="preserve">automated unit tests that examine </w:t>
      </w:r>
      <w:r w:rsidR="00B76857" w:rsidRPr="00F23987">
        <w:rPr>
          <w:sz w:val="24"/>
          <w:szCs w:val="24"/>
        </w:rPr>
        <w:t xml:space="preserve">over </w:t>
      </w:r>
      <w:r w:rsidR="00A057AA" w:rsidRPr="00F23987">
        <w:rPr>
          <w:sz w:val="24"/>
          <w:szCs w:val="24"/>
        </w:rPr>
        <w:t xml:space="preserve">520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068DA01C"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Web site content is available under the Creative Commons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lastRenderedPageBreak/>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sidRPr="00A2051B">
        <w:rPr>
          <w:rFonts w:eastAsia="Times New Roman" w:cs="Times New Roman"/>
          <w:sz w:val="24"/>
          <w:szCs w:val="24"/>
          <w:highlight w:val="yellow"/>
        </w:rPr>
        <w:t>14 May 2016</w:t>
      </w:r>
      <w:r w:rsidR="00C754BD" w:rsidRPr="00C754BD">
        <w:rPr>
          <w:rFonts w:eastAsia="Times New Roman" w:cs="Times New Roman"/>
          <w:sz w:val="24"/>
          <w:szCs w:val="24"/>
        </w:rPr>
        <w:t xml:space="preserve">, the GRNsight home page has been accessed </w:t>
      </w:r>
      <w:r w:rsidR="001D6B0E" w:rsidRPr="00A2051B">
        <w:rPr>
          <w:rFonts w:eastAsia="Times New Roman" w:cs="Times New Roman"/>
          <w:sz w:val="24"/>
          <w:szCs w:val="24"/>
          <w:highlight w:val="yellow"/>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sidRPr="00A2051B">
        <w:rPr>
          <w:rFonts w:eastAsia="Times New Roman" w:cs="Times New Roman"/>
          <w:sz w:val="24"/>
          <w:szCs w:val="24"/>
          <w:highlight w:val="yellow"/>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w:t>
      </w:r>
      <w:r w:rsidR="009C28A8" w:rsidRPr="00F23987">
        <w:rPr>
          <w:sz w:val="24"/>
          <w:szCs w:val="24"/>
        </w:rPr>
        <w:lastRenderedPageBreak/>
        <w:t xml:space="preserve">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with the longest including five nodes originating at SKN7</w:t>
      </w:r>
      <w:r w:rsidR="00DE2EE4">
        <w:rPr>
          <w:sz w:val="24"/>
          <w:szCs w:val="24"/>
        </w:rPr>
        <w:t xml:space="preserve"> </w:t>
      </w:r>
      <w:r w:rsidR="00DE2EE4" w:rsidRPr="00DE2EE4">
        <w:rPr>
          <w:sz w:val="24"/>
          <w:szCs w:val="24"/>
          <w:highlight w:val="yellow"/>
        </w:rPr>
        <w:t>or ACE2</w:t>
      </w:r>
      <w:r w:rsidRPr="00F23987">
        <w:rPr>
          <w:sz w:val="24"/>
          <w:szCs w:val="24"/>
        </w:rPr>
        <w:t>. There are several other 4-</w:t>
      </w:r>
      <w:r w:rsidRPr="00F23987">
        <w:rPr>
          <w:sz w:val="24"/>
          <w:szCs w:val="24"/>
        </w:rPr>
        <w:lastRenderedPageBreak/>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6A6B4B">
        <w:rPr>
          <w:sz w:val="24"/>
          <w:szCs w:val="24"/>
          <w:highlight w:val="yellow"/>
        </w:rPr>
        <w:t>I</w:t>
      </w:r>
      <w:r w:rsidRPr="006A6B4B">
        <w:rPr>
          <w:sz w:val="24"/>
          <w:szCs w:val="24"/>
          <w:highlight w:val="yellow"/>
        </w:rPr>
        <w:t xml:space="preserve">n </w:t>
      </w:r>
      <w:r w:rsidR="00DD1CFC" w:rsidRPr="006A6B4B">
        <w:rPr>
          <w:sz w:val="24"/>
          <w:szCs w:val="24"/>
          <w:highlight w:val="yellow"/>
        </w:rPr>
        <w:t>Figures 5D, E, and F</w:t>
      </w:r>
      <w:r w:rsidRPr="006A6B4B">
        <w:rPr>
          <w:sz w:val="24"/>
          <w:szCs w:val="24"/>
          <w:highlight w:val="yellow"/>
        </w:rPr>
        <w:t xml:space="preserve">, the </w:t>
      </w:r>
      <w:r w:rsidR="006A6B4B" w:rsidRPr="006A6B4B">
        <w:rPr>
          <w:sz w:val="24"/>
          <w:szCs w:val="24"/>
          <w:highlight w:val="yellow"/>
        </w:rPr>
        <w:t>edge corresponding</w:t>
      </w:r>
      <w:r w:rsidRPr="006A6B4B">
        <w:rPr>
          <w:sz w:val="24"/>
          <w:szCs w:val="24"/>
          <w:highlight w:val="yellow"/>
        </w:rPr>
        <w:t xml:space="preserve"> to the repression of the expre</w:t>
      </w:r>
      <w:r w:rsidR="00A63725" w:rsidRPr="006A6B4B">
        <w:rPr>
          <w:sz w:val="24"/>
          <w:szCs w:val="24"/>
          <w:highlight w:val="yellow"/>
        </w:rPr>
        <w:t xml:space="preserve">ssion of MSN1 by ABF1 </w:t>
      </w:r>
      <w:r w:rsidR="006A6B4B" w:rsidRPr="006A6B4B">
        <w:rPr>
          <w:sz w:val="24"/>
          <w:szCs w:val="24"/>
          <w:highlight w:val="yellow"/>
        </w:rPr>
        <w:t xml:space="preserve">stands out as the thickest </w:t>
      </w:r>
      <w:r w:rsidR="00A63725" w:rsidRPr="006A6B4B">
        <w:rPr>
          <w:sz w:val="24"/>
          <w:szCs w:val="24"/>
          <w:highlight w:val="yellow"/>
        </w:rPr>
        <w:t xml:space="preserve">because the absolute value of its weight parameter </w:t>
      </w:r>
      <w:r w:rsidR="00120E50" w:rsidRPr="006A6B4B">
        <w:rPr>
          <w:sz w:val="24"/>
          <w:szCs w:val="24"/>
          <w:highlight w:val="yellow"/>
        </w:rPr>
        <w:t>(-</w:t>
      </w:r>
      <w:r w:rsidR="00120E50" w:rsidRPr="006D03C1">
        <w:rPr>
          <w:sz w:val="24"/>
          <w:szCs w:val="24"/>
          <w:highlight w:val="yellow"/>
        </w:rPr>
        <w:t xml:space="preserve">2.97) </w:t>
      </w:r>
      <w:r w:rsidR="00A63725" w:rsidRPr="006D03C1">
        <w:rPr>
          <w:sz w:val="24"/>
          <w:szCs w:val="24"/>
          <w:highlight w:val="yellow"/>
        </w:rPr>
        <w:t>has</w:t>
      </w:r>
      <w:r w:rsidR="00120E50" w:rsidRPr="006D03C1">
        <w:rPr>
          <w:sz w:val="24"/>
          <w:szCs w:val="24"/>
          <w:highlight w:val="yellow"/>
        </w:rPr>
        <w:t xml:space="preserve"> the </w:t>
      </w:r>
      <w:r w:rsidR="006A6B4B" w:rsidRPr="006D03C1">
        <w:rPr>
          <w:sz w:val="24"/>
          <w:szCs w:val="24"/>
          <w:highlight w:val="yellow"/>
        </w:rPr>
        <w:t>largest</w:t>
      </w:r>
      <w:r w:rsidR="00120E50" w:rsidRPr="006D03C1">
        <w:rPr>
          <w:sz w:val="24"/>
          <w:szCs w:val="24"/>
          <w:highlight w:val="yellow"/>
        </w:rPr>
        <w:t xml:space="preserve"> magnitude</w:t>
      </w:r>
      <w:r w:rsidR="00A63725" w:rsidRPr="006D03C1">
        <w:rPr>
          <w:sz w:val="24"/>
          <w:szCs w:val="24"/>
          <w:highlight w:val="yellow"/>
        </w:rPr>
        <w:t xml:space="preserve"> out of all the weights</w:t>
      </w:r>
      <w:r w:rsidR="00547DC2" w:rsidRPr="006D03C1">
        <w:rPr>
          <w:sz w:val="24"/>
          <w:szCs w:val="24"/>
          <w:highlight w:val="yellow"/>
        </w:rPr>
        <w:t xml:space="preserve"> (Dahlquist et al., 2015)</w:t>
      </w:r>
      <w:r w:rsidRPr="006D03C1">
        <w:rPr>
          <w:sz w:val="24"/>
          <w:szCs w:val="24"/>
          <w:highlight w:val="yellow"/>
        </w:rPr>
        <w:t>.</w:t>
      </w:r>
      <w:r w:rsidR="004D235E" w:rsidRPr="006D03C1">
        <w:rPr>
          <w:sz w:val="24"/>
          <w:szCs w:val="24"/>
          <w:highlight w:val="yellow"/>
        </w:rPr>
        <w:t xml:space="preserve"> </w:t>
      </w:r>
      <w:r w:rsidR="006A6B4B" w:rsidRPr="006D03C1">
        <w:rPr>
          <w:sz w:val="24"/>
          <w:szCs w:val="24"/>
          <w:highlight w:val="yellow"/>
        </w:rPr>
        <w:t xml:space="preserve"> It is noticeable that none of the edges that represent activation are as thick as the ABF1-to-MSN1 edge</w:t>
      </w:r>
      <w:r w:rsidR="006D03C1">
        <w:rPr>
          <w:sz w:val="24"/>
          <w:szCs w:val="24"/>
          <w:highlight w:val="yellow"/>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lastRenderedPageBreak/>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F23987">
        <w:rPr>
          <w:sz w:val="24"/>
          <w:szCs w:val="24"/>
        </w:rPr>
        <w:t xml:space="preserve">Because of this visualization of the weight parameters, one can make some interesting observations about the behavior of the network (Dahlquist et al., 2015). </w:t>
      </w:r>
      <w:r w:rsidR="008D708E" w:rsidRPr="000F3ED7">
        <w:rPr>
          <w:sz w:val="24"/>
          <w:szCs w:val="24"/>
          <w:highlight w:val="yellow"/>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0F3ED7">
        <w:rPr>
          <w:sz w:val="24"/>
          <w:szCs w:val="24"/>
          <w:highlight w:val="yellow"/>
        </w:rPr>
        <w:t xml:space="preserve"> NRG1-to-YAP6, MSN4-to-FHL1,</w:t>
      </w:r>
      <w:r w:rsidR="008D708E" w:rsidRPr="000F3ED7">
        <w:rPr>
          <w:sz w:val="24"/>
          <w:szCs w:val="24"/>
          <w:highlight w:val="yellow"/>
        </w:rPr>
        <w:t xml:space="preserve"> SKN7-to ROX1</w:t>
      </w:r>
      <w:r w:rsidR="000F3ED7" w:rsidRPr="000F3ED7">
        <w:rPr>
          <w:sz w:val="24"/>
          <w:szCs w:val="24"/>
          <w:highlight w:val="yellow"/>
        </w:rPr>
        <w:t xml:space="preserve"> and PHD1-to-MSN4</w:t>
      </w:r>
      <w:r w:rsidR="008D708E" w:rsidRPr="000F3ED7">
        <w:rPr>
          <w:sz w:val="24"/>
          <w:szCs w:val="24"/>
          <w:highlight w:val="yellow"/>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0F3ED7">
        <w:rPr>
          <w:sz w:val="24"/>
          <w:szCs w:val="24"/>
          <w:highlight w:val="yellow"/>
        </w:rPr>
        <w:t xml:space="preserve">ROX1-to-YAP6, </w:t>
      </w:r>
      <w:r w:rsidR="008D708E" w:rsidRPr="000F3ED7">
        <w:rPr>
          <w:sz w:val="24"/>
          <w:szCs w:val="24"/>
          <w:highlight w:val="yellow"/>
        </w:rPr>
        <w:t xml:space="preserve">PHD1-to-CUP9, CIN5-to-YAP6, </w:t>
      </w:r>
      <w:r w:rsidR="000F3ED7" w:rsidRPr="000F3ED7">
        <w:rPr>
          <w:sz w:val="24"/>
          <w:szCs w:val="24"/>
          <w:highlight w:val="yellow"/>
        </w:rPr>
        <w:t xml:space="preserve">YAP6-to-ROX1, YAP1-to-ROX1, </w:t>
      </w:r>
      <w:r w:rsidR="008D708E" w:rsidRPr="000F3ED7">
        <w:rPr>
          <w:sz w:val="24"/>
          <w:szCs w:val="24"/>
          <w:highlight w:val="yellow"/>
        </w:rPr>
        <w:t>SKN7-to-YAP1</w:t>
      </w:r>
      <w:r w:rsidR="000F3ED7" w:rsidRPr="000F3ED7">
        <w:rPr>
          <w:sz w:val="24"/>
          <w:szCs w:val="24"/>
          <w:highlight w:val="yellow"/>
        </w:rPr>
        <w:t>, RAP1-to-AFT1, and YAP6 to itself</w:t>
      </w:r>
      <w:r w:rsidR="008D708E" w:rsidRPr="000F3ED7">
        <w:rPr>
          <w:sz w:val="24"/>
          <w:szCs w:val="24"/>
          <w:highlight w:val="yellow"/>
        </w:rPr>
        <w:t>, followed by MAC1-to-CUP9 and SKN7-to-NRG1 as the weakest of the repression relationships.  These rankings could have been obtained, of course, by sorting the numerical values of the edges in a table, but it is noteable that these groupings can also be picked out by eye and then put into the context of the other network connections</w:t>
      </w:r>
      <w:r w:rsidR="000F3ED7" w:rsidRPr="000F3ED7">
        <w:rPr>
          <w:sz w:val="24"/>
          <w:szCs w:val="24"/>
          <w:highlight w:val="yellow"/>
        </w:rPr>
        <w:t>.</w:t>
      </w:r>
      <w:r w:rsidR="000F3ED7">
        <w:rPr>
          <w:sz w:val="24"/>
          <w:szCs w:val="24"/>
        </w:rPr>
        <w:t xml:space="preserve">  </w:t>
      </w:r>
    </w:p>
    <w:p w14:paraId="4596EC71" w14:textId="7FFF0624" w:rsidR="00655BF8" w:rsidRPr="00F23987" w:rsidRDefault="00DE2EE4" w:rsidP="004D235E">
      <w:pPr>
        <w:spacing w:before="240" w:after="240" w:line="480" w:lineRule="auto"/>
        <w:ind w:firstLine="720"/>
        <w:rPr>
          <w:sz w:val="24"/>
          <w:szCs w:val="24"/>
        </w:rPr>
      </w:pPr>
      <w:r w:rsidRPr="00507906">
        <w:rPr>
          <w:sz w:val="24"/>
          <w:szCs w:val="24"/>
          <w:highlight w:val="yellow"/>
        </w:rPr>
        <w:t xml:space="preserve">Because the </w:t>
      </w:r>
      <w:r w:rsidR="000F3ED7" w:rsidRPr="00507906">
        <w:rPr>
          <w:sz w:val="24"/>
          <w:szCs w:val="24"/>
          <w:highlight w:val="yellow"/>
        </w:rPr>
        <w:t>five weakest connections, CUP9-to-YAP6, REB1-to-GTS1, YAP6-to-CIN5, YAP1-to-YAP6, and HSF1</w:t>
      </w:r>
      <w:r w:rsidRPr="00507906">
        <w:rPr>
          <w:sz w:val="24"/>
          <w:szCs w:val="24"/>
          <w:highlight w:val="yellow"/>
        </w:rPr>
        <w:t xml:space="preserve">-to-REB1, colored grey, are de-emphasized in the visual display, a </w:t>
      </w:r>
      <w:r w:rsidRPr="00507906">
        <w:rPr>
          <w:sz w:val="24"/>
          <w:szCs w:val="24"/>
          <w:highlight w:val="yellow"/>
        </w:rPr>
        <w:lastRenderedPageBreak/>
        <w:t>different interpretation of the network structure can be made as compared to the unweighted network (Fig. 5E and F versus 5B and C).</w:t>
      </w:r>
      <w:r w:rsidR="006F2E2A" w:rsidRPr="00507906">
        <w:rPr>
          <w:sz w:val="24"/>
          <w:szCs w:val="24"/>
          <w:highlight w:val="yellow"/>
        </w:rPr>
        <w:t xml:space="preserve">  In most</w:t>
      </w:r>
      <w:r w:rsidRPr="00507906">
        <w:rPr>
          <w:sz w:val="24"/>
          <w:szCs w:val="24"/>
          <w:highlight w:val="yellow"/>
        </w:rPr>
        <w:t xml:space="preserve"> cases, nodes in a regulatory chain “drop out” visually</w:t>
      </w:r>
      <w:r w:rsidR="006F2E2A" w:rsidRPr="00507906">
        <w:rPr>
          <w:sz w:val="24"/>
          <w:szCs w:val="24"/>
          <w:highlight w:val="yellow"/>
        </w:rPr>
        <w:t xml:space="preserve"> “breaking” the chain</w:t>
      </w:r>
      <w:r w:rsidRPr="00507906">
        <w:rPr>
          <w:sz w:val="24"/>
          <w:szCs w:val="24"/>
          <w:highlight w:val="yellow"/>
        </w:rPr>
        <w:t>.  For example in the four-node chain beginning with RAP1-to-HSF1,</w:t>
      </w:r>
      <w:r w:rsidR="006F2E2A" w:rsidRPr="00507906">
        <w:rPr>
          <w:sz w:val="24"/>
          <w:szCs w:val="24"/>
          <w:highlight w:val="yellow"/>
        </w:rPr>
        <w:t xml:space="preserve"> the last two nodes,</w:t>
      </w:r>
      <w:r w:rsidRPr="00507906">
        <w:rPr>
          <w:sz w:val="24"/>
          <w:szCs w:val="24"/>
          <w:highlight w:val="yellow"/>
        </w:rPr>
        <w:t xml:space="preserve"> REB1 and GTS1</w:t>
      </w:r>
      <w:r w:rsidR="006F2E2A" w:rsidRPr="00507906">
        <w:rPr>
          <w:sz w:val="24"/>
          <w:szCs w:val="24"/>
          <w:highlight w:val="yellow"/>
        </w:rPr>
        <w:t>,</w:t>
      </w:r>
      <w:r w:rsidRPr="00507906">
        <w:rPr>
          <w:sz w:val="24"/>
          <w:szCs w:val="24"/>
          <w:highlight w:val="yellow"/>
        </w:rPr>
        <w:t xml:space="preserve"> are only weakly connected.  In the five-node chains beginning with SKN7-to-YAP1 or ACE2-to-YAP1</w:t>
      </w:r>
      <w:r w:rsidR="006F2E2A" w:rsidRPr="00507906">
        <w:rPr>
          <w:sz w:val="24"/>
          <w:szCs w:val="24"/>
          <w:highlight w:val="yellow"/>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507906">
        <w:rPr>
          <w:sz w:val="24"/>
          <w:szCs w:val="24"/>
          <w:highlight w:val="yellow"/>
        </w:rPr>
        <w:t xml:space="preserve">  Another</w:t>
      </w:r>
      <w:r w:rsidR="000766AE" w:rsidRPr="00507906">
        <w:rPr>
          <w:sz w:val="24"/>
          <w:szCs w:val="24"/>
          <w:highlight w:val="yellow"/>
        </w:rPr>
        <w:t xml:space="preserve"> interpretation of the network structure that is highlighted by the weighted display is that the 21-gene network could be divided into two smaller subnetworks by removing the two edges CUP9-to-YAP6 (grey) and ABF1-to-FHL1 (thin magenta, weakly activating).</w:t>
      </w:r>
      <w:r w:rsidR="008A1727" w:rsidRPr="00507906">
        <w:rPr>
          <w:sz w:val="24"/>
          <w:szCs w:val="24"/>
          <w:highlight w:val="yellow"/>
        </w:rPr>
        <w:t xml:space="preserve">  Finally, </w:t>
      </w:r>
      <w:r w:rsidR="0054786B" w:rsidRPr="00507906">
        <w:rPr>
          <w:sz w:val="24"/>
          <w:szCs w:val="24"/>
          <w:highlight w:val="yellow"/>
        </w:rPr>
        <w:t xml:space="preserve">the unweighted display showed </w:t>
      </w:r>
      <w:r w:rsidR="008A1727" w:rsidRPr="00507906">
        <w:rPr>
          <w:sz w:val="24"/>
          <w:szCs w:val="24"/>
          <w:highlight w:val="yellow"/>
        </w:rPr>
        <w:t>two complex feedforward motifs involving CIN5, ROX1, and YAP6 and SKN7, YAP1, and ROX1</w:t>
      </w:r>
      <w:r w:rsidR="0054786B" w:rsidRPr="00507906">
        <w:rPr>
          <w:sz w:val="24"/>
          <w:szCs w:val="24"/>
          <w:highlight w:val="yellow"/>
        </w:rPr>
        <w:t xml:space="preserve">.  The weighted display reveals that the complexity of the connections is reduced because the weak YAP1-to-YAP6 and YAP6-to-CIN5 edges drop out.  Furthermore the display reveals that the three-node CIN5-ROX1-YAP6 motif is an incoherent type 2 feedforward loop, while the SKN7-YAP1-ROX1 motif is a coherent type 4 feedforward loop, neither of which is found very commonly in </w:t>
      </w:r>
      <w:r w:rsidR="0054786B" w:rsidRPr="00507906">
        <w:rPr>
          <w:i/>
          <w:sz w:val="24"/>
          <w:szCs w:val="24"/>
          <w:highlight w:val="yellow"/>
        </w:rPr>
        <w:t>Escherichia coli</w:t>
      </w:r>
      <w:r w:rsidR="0054786B" w:rsidRPr="00507906">
        <w:rPr>
          <w:sz w:val="24"/>
          <w:szCs w:val="24"/>
          <w:highlight w:val="yellow"/>
        </w:rPr>
        <w:t xml:space="preserve"> or </w:t>
      </w:r>
      <w:r w:rsidR="0054786B" w:rsidRPr="00507906">
        <w:rPr>
          <w:i/>
          <w:sz w:val="24"/>
          <w:szCs w:val="24"/>
          <w:highlight w:val="yellow"/>
        </w:rPr>
        <w:t>S. cerevisiae</w:t>
      </w:r>
      <w:r w:rsidR="0054786B" w:rsidRPr="00507906">
        <w:rPr>
          <w:sz w:val="24"/>
          <w:szCs w:val="24"/>
          <w:highlight w:val="yellow"/>
        </w:rPr>
        <w:t xml:space="preserve"> gene regulatory networks (Alon 2007).</w:t>
      </w:r>
    </w:p>
    <w:p w14:paraId="4AFB5284" w14:textId="72FE090F" w:rsidR="00CA20D5" w:rsidRDefault="00655BF8" w:rsidP="004D235E">
      <w:pPr>
        <w:spacing w:before="240" w:after="240" w:line="480" w:lineRule="auto"/>
        <w:ind w:firstLine="720"/>
        <w:rPr>
          <w:sz w:val="24"/>
          <w:szCs w:val="24"/>
        </w:rPr>
      </w:pPr>
      <w:r w:rsidRPr="00F23987">
        <w:rPr>
          <w:sz w:val="24"/>
          <w:szCs w:val="24"/>
        </w:rPr>
        <w:t xml:space="preserve">The expression of several genes is controlled by a balance of activation and repression by different regulators. For example, the expression of MSN1 is strongly activated by CIN5, but even more strongly repressed by ABF1. </w:t>
      </w:r>
      <w:r w:rsidR="00CA3636" w:rsidRPr="00CD6C5E">
        <w:rPr>
          <w:sz w:val="24"/>
          <w:szCs w:val="24"/>
          <w:highlight w:val="yellow"/>
        </w:rPr>
        <w:t xml:space="preserve">The expression of ROX1 is weakly activated by SKN7 and weakly repressed by YAP1, CIN5, and YAP6.  The expression of YAP6 is weakly activated </w:t>
      </w:r>
      <w:r w:rsidR="00CA3636" w:rsidRPr="00CD6C5E">
        <w:rPr>
          <w:sz w:val="24"/>
          <w:szCs w:val="24"/>
          <w:highlight w:val="yellow"/>
        </w:rPr>
        <w:lastRenderedPageBreak/>
        <w:t>by NRG1, but weakly repressed by itself, CIN5, and ROX1.</w:t>
      </w:r>
      <w:r w:rsidR="00CA3636">
        <w:rPr>
          <w:sz w:val="24"/>
          <w:szCs w:val="24"/>
        </w:rPr>
        <w:t xml:space="preserve">  </w:t>
      </w:r>
      <w:r w:rsidRPr="00F23987">
        <w:rPr>
          <w:sz w:val="24"/>
          <w:szCs w:val="24"/>
        </w:rPr>
        <w:t xml:space="preserve">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Pr="00F23987">
        <w:rPr>
          <w:sz w:val="24"/>
          <w:szCs w:val="24"/>
        </w:rPr>
        <w:t xml:space="preserve">. </w:t>
      </w:r>
      <w:r w:rsidR="00CA20D5">
        <w:rPr>
          <w:sz w:val="24"/>
          <w:szCs w:val="24"/>
        </w:rPr>
        <w:t xml:space="preserve"> </w:t>
      </w:r>
      <w:r w:rsidR="00CA20D5" w:rsidRPr="00CA20D5">
        <w:rPr>
          <w:sz w:val="24"/>
          <w:szCs w:val="24"/>
          <w:highlight w:val="yellow"/>
        </w:rPr>
        <w:t xml:space="preserve">PHD1, ABF1, CIN5, and SKN7 also both activate and repress their different target genes in the network.  </w:t>
      </w:r>
      <w:r w:rsidR="00CA20D5" w:rsidRPr="00CA20D5">
        <w:rPr>
          <w:sz w:val="24"/>
          <w:szCs w:val="24"/>
          <w:highlight w:val="yellow"/>
        </w:rPr>
        <w:t>[check to see if any supporting references that show this experimentally]</w:t>
      </w:r>
      <w:bookmarkStart w:id="0" w:name="_GoBack"/>
      <w:bookmarkEnd w:id="0"/>
      <w:r w:rsidR="00CA20D5">
        <w:rPr>
          <w:sz w:val="24"/>
          <w:szCs w:val="24"/>
        </w:rPr>
        <w:t xml:space="preserve">  </w:t>
      </w:r>
      <w:r w:rsidR="00CA20D5" w:rsidRPr="00CA20D5">
        <w:rPr>
          <w:sz w:val="24"/>
          <w:szCs w:val="24"/>
          <w:highlight w:val="yellow"/>
        </w:rPr>
        <w:t>Except for CIN5, what these genes have in common is that they themselves have no inputs in the network.  The remaining no-input genes (ACE2, MAC1, and HAL9) have only one outgoing edge in this network.</w:t>
      </w:r>
      <w:r w:rsidR="00CA20D5">
        <w:rPr>
          <w:sz w:val="24"/>
          <w:szCs w:val="24"/>
        </w:rPr>
        <w:t xml:space="preserve"> </w:t>
      </w:r>
    </w:p>
    <w:p w14:paraId="49F9930D" w14:textId="26996B1F" w:rsidR="00655BF8" w:rsidRPr="00F23987" w:rsidRDefault="00655BF8" w:rsidP="004D235E">
      <w:pPr>
        <w:spacing w:before="240" w:after="240" w:line="480" w:lineRule="auto"/>
        <w:ind w:firstLine="720"/>
        <w:rPr>
          <w:sz w:val="24"/>
          <w:szCs w:val="24"/>
        </w:rPr>
      </w:pPr>
      <w:r w:rsidRPr="00F2557D">
        <w:rPr>
          <w:sz w:val="24"/>
          <w:szCs w:val="24"/>
          <w:highlight w:val="yellow"/>
        </w:rPr>
        <w:t>Thus, GRNsight enables one to interpret the weight parameters more easily than one could from the adjacency matrix alone.</w:t>
      </w:r>
      <w:r w:rsidR="00F2557D">
        <w:rPr>
          <w:sz w:val="24"/>
          <w:szCs w:val="24"/>
        </w:rPr>
        <w:t xml:space="preserve">  </w:t>
      </w:r>
      <w:r w:rsidR="00F2557D" w:rsidRPr="00F2557D">
        <w:rPr>
          <w:sz w:val="24"/>
          <w:szCs w:val="24"/>
          <w:highlight w:val="yellow"/>
        </w:rPr>
        <w:t>[This is most likely where a reference to Tufte should go.]</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w:t>
      </w:r>
      <w:r w:rsidR="00D81B40" w:rsidRPr="00F23987">
        <w:rPr>
          <w:sz w:val="24"/>
          <w:szCs w:val="24"/>
        </w:rPr>
        <w:lastRenderedPageBreak/>
        <w:t xml:space="preserve">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w:t>
      </w:r>
      <w:r w:rsidR="00D34461" w:rsidRPr="00F23987">
        <w:rPr>
          <w:sz w:val="24"/>
          <w:szCs w:val="24"/>
        </w:rPr>
        <w:lastRenderedPageBreak/>
        <w:t xml:space="preserve">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740FF865" w14:textId="77777777"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t>GRNsight Adheres to FAIR Principles</w:t>
      </w:r>
    </w:p>
    <w:p w14:paraId="23B927F0" w14:textId="77777777" w:rsidR="00212AC2" w:rsidRDefault="00212AC2" w:rsidP="00212AC2">
      <w:pPr>
        <w:spacing w:before="240" w:after="240" w:line="480" w:lineRule="auto"/>
        <w:rPr>
          <w:sz w:val="24"/>
          <w:szCs w:val="24"/>
        </w:rPr>
      </w:pPr>
      <w:r w:rsidRPr="00685533">
        <w:rPr>
          <w:sz w:val="24"/>
          <w:szCs w:val="24"/>
        </w:rPr>
        <w:tab/>
      </w:r>
      <w:r>
        <w:rPr>
          <w:sz w:val="24"/>
          <w:szCs w:val="24"/>
        </w:rPr>
        <w:t>The FAIR Guiding Principles states that data should be Findable, Accessible, Interoperable, and Reusable by both humans and machines (Wilkinson et al. 2016).  We have made GRNsight findable by registering it with well-known bioinformatics tools registries, the BioJS Repository (</w:t>
      </w:r>
      <w:r w:rsidRPr="00145FB8">
        <w:rPr>
          <w:sz w:val="24"/>
          <w:szCs w:val="24"/>
        </w:rPr>
        <w:t>http://biojs.io/</w:t>
      </w:r>
      <w:r>
        <w:rPr>
          <w:sz w:val="24"/>
          <w:szCs w:val="24"/>
        </w:rPr>
        <w:t>), the Elixir Tools and Data Services Registry (</w:t>
      </w:r>
      <w:r w:rsidRPr="00FB53A7">
        <w:rPr>
          <w:sz w:val="24"/>
          <w:szCs w:val="24"/>
        </w:rPr>
        <w:t>https://bio.tools/</w:t>
      </w:r>
      <w:r>
        <w:rPr>
          <w:sz w:val="24"/>
          <w:szCs w:val="24"/>
        </w:rPr>
        <w:t>), Bioinformatics.org (</w:t>
      </w:r>
      <w:r w:rsidRPr="00FB53A7">
        <w:rPr>
          <w:sz w:val="24"/>
          <w:szCs w:val="24"/>
        </w:rPr>
        <w:t>http://www.bioinformatics.org/wiki/</w:t>
      </w:r>
      <w:r>
        <w:rPr>
          <w:sz w:val="24"/>
          <w:szCs w:val="24"/>
        </w:rPr>
        <w:t>), and the Links Directory at Bioinformatics.ca (</w:t>
      </w:r>
      <w:r w:rsidRPr="00FB53A7">
        <w:rPr>
          <w:sz w:val="24"/>
          <w:szCs w:val="24"/>
        </w:rPr>
        <w:t>https://bioinformatics.ca/links_directory/</w:t>
      </w:r>
      <w:r>
        <w:rPr>
          <w:sz w:val="24"/>
          <w:szCs w:val="24"/>
        </w:rPr>
        <w:t>).  GRNsight is accessible because there are no restrictions for its use.  The</w:t>
      </w:r>
      <w:r w:rsidRPr="00FB53A7">
        <w:rPr>
          <w:sz w:val="24"/>
          <w:szCs w:val="24"/>
        </w:rPr>
        <w:t xml:space="preserve"> web site is free and open to all users </w:t>
      </w:r>
      <w:r w:rsidRPr="00FB53A7">
        <w:rPr>
          <w:sz w:val="24"/>
          <w:szCs w:val="24"/>
        </w:rPr>
        <w:lastRenderedPageBreak/>
        <w:t>and</w:t>
      </w:r>
      <w:r>
        <w:rPr>
          <w:sz w:val="24"/>
          <w:szCs w:val="24"/>
        </w:rPr>
        <w:t xml:space="preserve"> there is no login requirement.  GRNsight is interoperable because it can import and export data in SIF (Simple Interaction Format) and GraphML format, facilitating movement of data between GRNsight and other network visualization and analysis programs.  Finally, GRNsight is reusable because the code is avaialable on GitHub under the open source BSD license.</w:t>
      </w:r>
    </w:p>
    <w:p w14:paraId="113DF5BC" w14:textId="77777777" w:rsidR="00212AC2" w:rsidRPr="00FB53A7" w:rsidRDefault="00212AC2" w:rsidP="00212AC2">
      <w:pPr>
        <w:spacing w:before="240" w:after="240" w:line="480" w:lineRule="auto"/>
        <w:rPr>
          <w:sz w:val="24"/>
          <w:szCs w:val="24"/>
        </w:rPr>
      </w:pPr>
      <w:r>
        <w:rPr>
          <w:sz w:val="24"/>
          <w:szCs w:val="24"/>
        </w:rPr>
        <w:t xml:space="preserve"> “95% of bioinformatics is getting your data into the right file format.”  When we implemented import and export into SIF and GraphML format, we encountered issues with implementation due to the flexibility with which the formats are specified that required design decisions that may restrict compatibility with software that we didn’t test with.  For example, SIFformat is described in the documentation for Cytoscape 3.4.0, offers quite a bit of flexibility, including delimiter (space vs. tab), list of interactions vs. concatenating, and choice of relationship type (any string).  Advantage that it is simple, disadvantage, all that it is really intended to encode is the interacton itself, which makes including weight data a kludge.  GraphML has an entry in the biosharing.org registry of standards, but as of this writing is an unclaimed, automatically-generated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w:t>
      </w:r>
      <w:r>
        <w:rPr>
          <w:rFonts w:cs="Times New Roman"/>
          <w:sz w:val="24"/>
          <w:szCs w:val="24"/>
        </w:rPr>
        <w:lastRenderedPageBreak/>
        <w:t>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B2B4E" w14:textId="77777777" w:rsidR="00EE38F4" w:rsidRDefault="00EE38F4" w:rsidP="00C60395">
      <w:r>
        <w:separator/>
      </w:r>
    </w:p>
  </w:endnote>
  <w:endnote w:type="continuationSeparator" w:id="0">
    <w:p w14:paraId="6E37FBBE" w14:textId="77777777" w:rsidR="00EE38F4" w:rsidRDefault="00EE38F4"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CA20D5">
          <w:rPr>
            <w:noProof/>
          </w:rPr>
          <w:t>26</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031C2" w14:textId="77777777" w:rsidR="00EE38F4" w:rsidRDefault="00EE38F4" w:rsidP="00C60395">
      <w:r>
        <w:separator/>
      </w:r>
    </w:p>
  </w:footnote>
  <w:footnote w:type="continuationSeparator" w:id="0">
    <w:p w14:paraId="5D9C45F9" w14:textId="77777777" w:rsidR="00EE38F4" w:rsidRDefault="00EE38F4"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5897"/>
    <w:rsid w:val="00216652"/>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F91"/>
    <w:rsid w:val="004E7714"/>
    <w:rsid w:val="004F335A"/>
    <w:rsid w:val="004F4C46"/>
    <w:rsid w:val="004F6990"/>
    <w:rsid w:val="004F6F9F"/>
    <w:rsid w:val="0050102E"/>
    <w:rsid w:val="005019B3"/>
    <w:rsid w:val="00501E6A"/>
    <w:rsid w:val="00502188"/>
    <w:rsid w:val="00503F3B"/>
    <w:rsid w:val="00506626"/>
    <w:rsid w:val="00507906"/>
    <w:rsid w:val="00507FD6"/>
    <w:rsid w:val="00510440"/>
    <w:rsid w:val="00510F10"/>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349B"/>
    <w:rsid w:val="006B35A6"/>
    <w:rsid w:val="006B379E"/>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3189"/>
    <w:rsid w:val="00853507"/>
    <w:rsid w:val="008544CA"/>
    <w:rsid w:val="008545AD"/>
    <w:rsid w:val="008566E6"/>
    <w:rsid w:val="008613A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5162"/>
    <w:rsid w:val="00AD676D"/>
    <w:rsid w:val="00AD68AA"/>
    <w:rsid w:val="00AD6F63"/>
    <w:rsid w:val="00AE254E"/>
    <w:rsid w:val="00AE3AEF"/>
    <w:rsid w:val="00AE61C3"/>
    <w:rsid w:val="00AE6243"/>
    <w:rsid w:val="00AE649B"/>
    <w:rsid w:val="00AE6BE4"/>
    <w:rsid w:val="00AF2A30"/>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5B3"/>
    <w:rsid w:val="00DE2EE4"/>
    <w:rsid w:val="00DE2FD4"/>
    <w:rsid w:val="00DE46F1"/>
    <w:rsid w:val="00DE4A47"/>
    <w:rsid w:val="00DE50D7"/>
    <w:rsid w:val="00DE57EA"/>
    <w:rsid w:val="00DE5A99"/>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278F"/>
    <w:rsid w:val="00F9305B"/>
    <w:rsid w:val="00F93BA1"/>
    <w:rsid w:val="00F943B2"/>
    <w:rsid w:val="00F953A1"/>
    <w:rsid w:val="00F968A5"/>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82A92AF2-CCD9-4DF2-B385-8A23A04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ndi.github.io/GR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26</Pages>
  <Words>6711</Words>
  <Characters>38257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44879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23</cp:revision>
  <cp:lastPrinted>2016-05-16T20:13:00Z</cp:lastPrinted>
  <dcterms:created xsi:type="dcterms:W3CDTF">2016-05-18T20:14:00Z</dcterms:created>
  <dcterms:modified xsi:type="dcterms:W3CDTF">2016-08-11T00:16:00Z</dcterms:modified>
</cp:coreProperties>
</file>