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Secondary Antibody Rules Verification Report</w:t>
      </w:r>
    </w:p>
    <w:p>
      <w:r>
        <w:t/>
      </w:r>
    </w:p>
    <w:p>
      <w:pPr>
        <w:pStyle w:val="Heading1"/>
      </w:pPr>
      <w:r>
        <w:t>Verification Scope</w:t>
      </w:r>
    </w:p>
    <w:p>
      <w:r>
        <w:t/>
      </w:r>
    </w:p>
    <w:p>
      <w:pPr>
        <w:numPr>
          <w:ilvl w:val="0"/>
          <w:numId w:val="1"/>
        </w:numPr>
      </w:pPr>
      <w:r>
        <w:t xml:space="preserve">Search example reviewed: </w:t>
      </w:r>
      <w:r>
        <w:rPr>
          <w:rFonts w:ascii="Consolas" w:hAnsi="Consolas"/>
          <w:sz w:val="20"/>
        </w:rPr>
        <w:t>https://www.qa.thermofisher.com/antibody/secondary/query/*</w:t>
      </w:r>
    </w:p>
    <w:p>
      <w:pPr>
        <w:numPr>
          <w:ilvl w:val="0"/>
          <w:numId w:val="1"/>
        </w:numPr>
      </w:pPr>
      <w:r>
        <w:t xml:space="preserve">Product example reviewed: </w:t>
      </w:r>
      <w:r>
        <w:rPr>
          <w:rFonts w:ascii="Consolas" w:hAnsi="Consolas"/>
          <w:sz w:val="20"/>
        </w:rPr>
        <w:t>https://www.qa.thermofisher.com/antibody/product/Goat-anti-Mouse-IgG-H-L-Highly-Cross-Adsorbed-Secondary-Antibody-Polyclonal/A32723TR</w:t>
      </w:r>
    </w:p>
    <w:p>
      <w:pPr>
        <w:numPr>
          <w:ilvl w:val="0"/>
          <w:numId w:val="1"/>
        </w:numPr>
      </w:pPr>
      <w:r>
        <w:t>Both QA URLs returned page content on May 11, 2026.</w:t>
      </w:r>
    </w:p>
    <w:p>
      <w:pPr>
        <w:numPr>
          <w:ilvl w:val="0"/>
          <w:numId w:val="1"/>
        </w:numPr>
      </w:pPr>
      <w:r>
        <w:t>Verification used QA page HTML, QA page configuration values, and repository evidence from the Magellan search, Q&amp;A, BID, and related-products repositories.</w:t>
      </w:r>
    </w:p>
    <w:p>
      <w:r>
        <w:t/>
      </w:r>
    </w:p>
    <w:p>
      <w:pPr>
        <w:pStyle w:val="Heading1"/>
      </w:pPr>
      <w:r>
        <w:t>Overall Assessment</w:t>
      </w:r>
    </w:p>
    <w:p>
      <w:r>
        <w:t/>
      </w:r>
    </w:p>
    <w:p>
      <w:pPr>
        <w:numPr>
          <w:ilvl w:val="0"/>
          <w:numId w:val="1"/>
        </w:numPr>
      </w:pPr>
      <w:r>
        <w:t>The generated secondary antibody search rules are mostly correct and align with the QA search page and shared antibody search implementation.</w:t>
      </w:r>
    </w:p>
    <w:p>
      <w:pPr>
        <w:numPr>
          <w:ilvl w:val="0"/>
          <w:numId w:val="1"/>
        </w:numPr>
      </w:pPr>
      <w:r>
        <w:t>The generated secondary antibody product rules are mostly correct for the product title banner, commerce card, price and availability behavior, product details, specifications, target information, references, published figures, Q&amp;A, and related-products enablement.</w:t>
      </w:r>
    </w:p>
    <w:p>
      <w:pPr>
        <w:numPr>
          <w:ilvl w:val="0"/>
          <w:numId w:val="1"/>
        </w:numPr>
      </w:pPr>
      <w:r>
        <w:t>The secondary antibody product example does not display a Bioinformatics section. No explicit secondary antibody Bioinformatics rule was confirmed from the reviewed page or the reviewed Bioinformatics feature evidence.</w:t>
      </w:r>
    </w:p>
    <w:p>
      <w:pPr>
        <w:numPr>
          <w:ilvl w:val="0"/>
          <w:numId w:val="1"/>
        </w:numPr>
      </w:pPr>
      <w:r>
        <w:t>Secondary antibody Q&amp;A rules are different from primary antibody Q&amp;A rules and were adjusted accordingly.</w:t>
      </w:r>
    </w:p>
    <w:p>
      <w:pPr>
        <w:numPr>
          <w:ilvl w:val="0"/>
          <w:numId w:val="1"/>
        </w:numPr>
      </w:pPr>
      <w:r>
        <w:t>Some behaviors should remain conditional because the live QA configuration differs from older legacy JavaScript and because price/availability values are populated through dynamic commerce calls.</w:t>
      </w:r>
    </w:p>
    <w:p>
      <w:r>
        <w:t/>
      </w:r>
    </w:p>
    <w:p>
      <w:pPr>
        <w:pStyle w:val="Heading1"/>
      </w:pPr>
      <w:r>
        <w:t>Search Page Verification</w:t>
      </w:r>
    </w:p>
    <w:p>
      <w:r>
        <w:t/>
      </w:r>
    </w:p>
    <w:p>
      <w:pPr>
        <w:pStyle w:val="Heading2"/>
      </w:pPr>
      <w:r>
        <w:t>Confirmed On The QA Search Page</w:t>
      </w:r>
    </w:p>
    <w:p>
      <w:r>
        <w:t/>
      </w:r>
    </w:p>
    <w:p>
      <w:pPr>
        <w:numPr>
          <w:ilvl w:val="0"/>
          <w:numId w:val="1"/>
        </w:numPr>
      </w:pPr>
      <w:r>
        <w:t>The page is a secondary antibody wildcard search page.</w:t>
      </w:r>
    </w:p>
    <w:p>
      <w:pPr>
        <w:numPr>
          <w:ilvl w:val="0"/>
          <w:numId w:val="1"/>
        </w:numPr>
      </w:pPr>
      <w:r>
        <w:t>The page title identifies the result set as Secondary Antibodies.</w:t>
      </w:r>
    </w:p>
    <w:p>
      <w:pPr>
        <w:numPr>
          <w:ilvl w:val="0"/>
          <w:numId w:val="1"/>
        </w:numPr>
      </w:pPr>
      <w:r>
        <w:t>The page displays 2,216 results for the wildcard query.</w:t>
      </w:r>
    </w:p>
    <w:p>
      <w:pPr>
        <w:numPr>
          <w:ilvl w:val="0"/>
          <w:numId w:val="1"/>
        </w:numPr>
      </w:pPr>
      <w:r>
        <w:t>Secondary antibody search uses the secondary antibody query route.</w:t>
      </w:r>
    </w:p>
    <w:p>
      <w:pPr>
        <w:numPr>
          <w:ilvl w:val="0"/>
          <w:numId w:val="1"/>
        </w:numPr>
      </w:pPr>
      <w:r>
        <w:t>The page configuration includes secondary antibody in the newer-filter subtype list.</w:t>
      </w:r>
    </w:p>
    <w:p>
      <w:pPr>
        <w:numPr>
          <w:ilvl w:val="0"/>
          <w:numId w:val="1"/>
        </w:numPr>
      </w:pPr>
      <w:r>
        <w:t>The page configuration sets secondary antibody result count to 50.</w:t>
      </w:r>
    </w:p>
    <w:p>
      <w:pPr>
        <w:numPr>
          <w:ilvl w:val="0"/>
          <w:numId w:val="1"/>
        </w:numPr>
      </w:pPr>
      <w:r>
        <w:t>The page configuration sets the maximum antibody search keyword length to 250.</w:t>
      </w:r>
    </w:p>
    <w:p>
      <w:pPr>
        <w:numPr>
          <w:ilvl w:val="0"/>
          <w:numId w:val="1"/>
        </w:numPr>
      </w:pPr>
      <w:r>
        <w:t>The page configuration includes secondary antibody in Q&amp;A-enabled product subtypes.</w:t>
      </w:r>
    </w:p>
    <w:p>
      <w:pPr>
        <w:numPr>
          <w:ilvl w:val="0"/>
          <w:numId w:val="1"/>
        </w:numPr>
      </w:pPr>
      <w:r>
        <w:t>The page configuration includes secondary antibody in related-products-enabled product subtypes.</w:t>
      </w:r>
    </w:p>
    <w:p>
      <w:pPr>
        <w:numPr>
          <w:ilvl w:val="0"/>
          <w:numId w:val="1"/>
        </w:numPr>
      </w:pPr>
      <w:r>
        <w:t>The page configuration has product badges disabled.</w:t>
      </w:r>
    </w:p>
    <w:p>
      <w:pPr>
        <w:numPr>
          <w:ilvl w:val="0"/>
          <w:numId w:val="1"/>
        </w:numPr>
      </w:pPr>
      <w:r>
        <w:t>The page includes compare functionality.</w:t>
      </w:r>
    </w:p>
    <w:p>
      <w:r>
        <w:t/>
      </w:r>
    </w:p>
    <w:p>
      <w:pPr>
        <w:pStyle w:val="Heading2"/>
      </w:pPr>
      <w:r>
        <w:t>Supported By Repository Logic, Not Fully Proven By Static Page HTML</w:t>
      </w:r>
    </w:p>
    <w:p>
      <w:r>
        <w:t/>
      </w:r>
    </w:p>
    <w:p>
      <w:pPr>
        <w:numPr>
          <w:ilvl w:val="0"/>
          <w:numId w:val="1"/>
        </w:numPr>
      </w:pPr>
      <w:r>
        <w:t>Secondary antibody legacy typeahead uses the secondary antibody filter value.</w:t>
      </w:r>
    </w:p>
    <w:p>
      <w:pPr>
        <w:numPr>
          <w:ilvl w:val="0"/>
          <w:numId w:val="1"/>
        </w:numPr>
      </w:pPr>
      <w:r>
        <w:t>Secondary antibody legacy typeahead returns no more than 15 suggestions.</w:t>
      </w:r>
    </w:p>
    <w:p>
      <w:pPr>
        <w:numPr>
          <w:ilvl w:val="0"/>
          <w:numId w:val="1"/>
        </w:numPr>
      </w:pPr>
      <w:r>
        <w:t>Duplicate typeahead suggestion values are shown only once.</w:t>
      </w:r>
    </w:p>
    <w:p>
      <w:pPr>
        <w:numPr>
          <w:ilvl w:val="0"/>
          <w:numId w:val="1"/>
        </w:numPr>
      </w:pPr>
      <w:r>
        <w:t>Typeahead removes registered-trademark markers from selected values.</w:t>
      </w:r>
    </w:p>
    <w:p>
      <w:pPr>
        <w:numPr>
          <w:ilvl w:val="0"/>
          <w:numId w:val="1"/>
        </w:numPr>
      </w:pPr>
      <w:r>
        <w:t>The secondary antibody search tab uses Qdot 585, Alexa Fluor 594, and HRP as suggested searches.</w:t>
      </w:r>
    </w:p>
    <w:p>
      <w:pPr>
        <w:numPr>
          <w:ilvl w:val="0"/>
          <w:numId w:val="1"/>
        </w:numPr>
      </w:pPr>
      <w:r>
        <w:t>Selecting a filter resets the result offset to the first page.</w:t>
      </w:r>
    </w:p>
    <w:p>
      <w:pPr>
        <w:numPr>
          <w:ilvl w:val="0"/>
          <w:numId w:val="1"/>
        </w:numPr>
      </w:pPr>
      <w:r>
        <w:t>Sorting resets the result offset to the first page.</w:t>
      </w:r>
    </w:p>
    <w:p>
      <w:pPr>
        <w:numPr>
          <w:ilvl w:val="0"/>
          <w:numId w:val="1"/>
        </w:numPr>
      </w:pPr>
      <w:r>
        <w:t>Load More appends additional rows.</w:t>
      </w:r>
    </w:p>
    <w:p>
      <w:pPr>
        <w:numPr>
          <w:ilvl w:val="0"/>
          <w:numId w:val="1"/>
        </w:numPr>
      </w:pPr>
      <w:r>
        <w:t>Compare allows up to three selected products and enables Compare only when at least two products are selected.</w:t>
      </w:r>
    </w:p>
    <w:p>
      <w:r>
        <w:t/>
      </w:r>
    </w:p>
    <w:p>
      <w:pPr>
        <w:pStyle w:val="Heading2"/>
      </w:pPr>
      <w:r>
        <w:t>Search Rules Needing Review Or Rewording</w:t>
      </w:r>
    </w:p>
    <w:p>
      <w:r>
        <w:t/>
      </w:r>
    </w:p>
    <w:p>
      <w:pPr>
        <w:numPr>
          <w:ilvl w:val="0"/>
          <w:numId w:val="1"/>
        </w:numPr>
      </w:pPr>
      <w:r>
        <w:t xml:space="preserve">Newer typeahead is not enabled for secondary antibody in the QA configuration; only </w:t>
      </w:r>
      <w:r>
        <w:rPr>
          <w:rFonts w:ascii="Consolas" w:hAnsi="Consolas"/>
          <w:sz w:val="20"/>
        </w:rPr>
        <w:t>ANTIBODY_PRIMARY</w:t>
      </w:r>
      <w:r>
        <w:t xml:space="preserve"> and </w:t>
      </w:r>
      <w:r>
        <w:rPr>
          <w:rFonts w:ascii="Consolas" w:hAnsi="Consolas"/>
          <w:sz w:val="20"/>
        </w:rPr>
        <w:t>ELISA</w:t>
      </w:r>
      <w:r>
        <w:t xml:space="preserve"> are listed. Any secondary typeahead rule should be labeled as legacy typeahead or revalidated against the active runtime path.</w:t>
      </w:r>
    </w:p>
    <w:p>
      <w:pPr>
        <w:numPr>
          <w:ilvl w:val="0"/>
          <w:numId w:val="1"/>
        </w:numPr>
      </w:pPr>
      <w:r>
        <w:t xml:space="preserve">Product badge rules should be conditional because the QA configuration has </w:t>
      </w:r>
      <w:r>
        <w:rPr>
          <w:rFonts w:ascii="Consolas" w:hAnsi="Consolas"/>
          <w:sz w:val="20"/>
        </w:rPr>
        <w:t>enableBadges:false</w:t>
      </w:r>
      <w:r>
        <w:t>.</w:t>
      </w:r>
    </w:p>
    <w:p>
      <w:pPr>
        <w:numPr>
          <w:ilvl w:val="0"/>
          <w:numId w:val="1"/>
        </w:numPr>
      </w:pPr>
      <w:r>
        <w:t>FisherSci pricing batch size should be tied to active configuration. The live QA configuration exposes a batch-size setting, while older legacy JavaScript used a fixed batch size.</w:t>
      </w:r>
    </w:p>
    <w:p>
      <w:pPr>
        <w:numPr>
          <w:ilvl w:val="0"/>
          <w:numId w:val="1"/>
        </w:numPr>
      </w:pPr>
      <w:r>
        <w:t>The search rules should avoid saying secondary search has Bioinformatics behavior; Bioinformatics belongs to product pages and was not confirmed for the secondary example.</w:t>
      </w:r>
    </w:p>
    <w:p>
      <w:r>
        <w:t/>
      </w:r>
    </w:p>
    <w:p>
      <w:pPr>
        <w:pStyle w:val="Heading1"/>
      </w:pPr>
      <w:r>
        <w:t>Product Page Verification</w:t>
      </w:r>
    </w:p>
    <w:p>
      <w:r>
        <w:t/>
      </w:r>
    </w:p>
    <w:p>
      <w:pPr>
        <w:pStyle w:val="Heading2"/>
      </w:pPr>
      <w:r>
        <w:t>Confirmed On The QA Product Page</w:t>
      </w:r>
    </w:p>
    <w:p>
      <w:r>
        <w:t/>
      </w:r>
    </w:p>
    <w:p>
      <w:pPr>
        <w:numPr>
          <w:ilvl w:val="0"/>
          <w:numId w:val="1"/>
        </w:numPr>
      </w:pPr>
      <w:r>
        <w:t>The product page is for A32723TR, a Goat anti-Mouse IgG secondary antibody.</w:t>
      </w:r>
    </w:p>
    <w:p>
      <w:pPr>
        <w:numPr>
          <w:ilvl w:val="0"/>
          <w:numId w:val="1"/>
        </w:numPr>
      </w:pPr>
      <w:r>
        <w:t>The page identifies the product type as Secondary Antibody.</w:t>
      </w:r>
    </w:p>
    <w:p>
      <w:pPr>
        <w:numPr>
          <w:ilvl w:val="0"/>
          <w:numId w:val="1"/>
        </w:numPr>
      </w:pPr>
      <w:r>
        <w:t>The page title identifies the product as Goat anti-Mouse IgG (H+L) Highly Cross-Adsorbed, Alexa Fluor Plus 488, catalog number A32723TR.</w:t>
      </w:r>
    </w:p>
    <w:p>
      <w:pPr>
        <w:numPr>
          <w:ilvl w:val="0"/>
          <w:numId w:val="1"/>
        </w:numPr>
      </w:pPr>
      <w:r>
        <w:t>The product order model uses product type antibody and product subtype antibody_secondary.</w:t>
      </w:r>
    </w:p>
    <w:p>
      <w:pPr>
        <w:numPr>
          <w:ilvl w:val="0"/>
          <w:numId w:val="1"/>
        </w:numPr>
      </w:pPr>
      <w:r>
        <w:t>The product order model includes two package options: A32723TR for 100 µg and A32723 for 1 mg.</w:t>
      </w:r>
    </w:p>
    <w:p>
      <w:pPr>
        <w:numPr>
          <w:ilvl w:val="0"/>
          <w:numId w:val="1"/>
        </w:numPr>
      </w:pPr>
      <w:r>
        <w:t>Both package options include the Alexa Fluor Plus banner message.</w:t>
      </w:r>
    </w:p>
    <w:p>
      <w:pPr>
        <w:numPr>
          <w:ilvl w:val="0"/>
          <w:numId w:val="1"/>
        </w:numPr>
      </w:pPr>
      <w:r>
        <w:t>Both package options include a Learn more link in the banner message.</w:t>
      </w:r>
    </w:p>
    <w:p>
      <w:pPr>
        <w:numPr>
          <w:ilvl w:val="0"/>
          <w:numId w:val="1"/>
        </w:numPr>
      </w:pPr>
      <w:r>
        <w:t>Both package options are not marked long-term unavailable.</w:t>
      </w:r>
    </w:p>
    <w:p>
      <w:pPr>
        <w:numPr>
          <w:ilvl w:val="0"/>
          <w:numId w:val="1"/>
        </w:numPr>
      </w:pPr>
      <w:r>
        <w:t>Both package options are not marked discontinued.</w:t>
      </w:r>
    </w:p>
    <w:p>
      <w:pPr>
        <w:numPr>
          <w:ilvl w:val="0"/>
          <w:numId w:val="1"/>
        </w:numPr>
      </w:pPr>
      <w:r>
        <w:t>The page configuration has banner messages enabled.</w:t>
      </w:r>
    </w:p>
    <w:p>
      <w:pPr>
        <w:numPr>
          <w:ilvl w:val="0"/>
          <w:numId w:val="1"/>
        </w:numPr>
      </w:pPr>
      <w:r>
        <w:t>The page configuration has dynamic price enabled.</w:t>
      </w:r>
    </w:p>
    <w:p>
      <w:pPr>
        <w:numPr>
          <w:ilvl w:val="0"/>
          <w:numId w:val="1"/>
        </w:numPr>
      </w:pPr>
      <w:r>
        <w:t>The page configuration enables the new pricing API for antibody products.</w:t>
      </w:r>
    </w:p>
    <w:p>
      <w:pPr>
        <w:numPr>
          <w:ilvl w:val="0"/>
          <w:numId w:val="1"/>
        </w:numPr>
      </w:pPr>
      <w:r>
        <w:t>The page configuration enables the new availability API.</w:t>
      </w:r>
    </w:p>
    <w:p>
      <w:pPr>
        <w:numPr>
          <w:ilvl w:val="0"/>
          <w:numId w:val="1"/>
        </w:numPr>
      </w:pPr>
      <w:r>
        <w:t>The page configuration enables estimated availability.</w:t>
      </w:r>
    </w:p>
    <w:p>
      <w:pPr>
        <w:numPr>
          <w:ilvl w:val="0"/>
          <w:numId w:val="1"/>
        </w:numPr>
      </w:pPr>
      <w:r>
        <w:t>The page configuration enables the OAuth2 availability API.</w:t>
      </w:r>
    </w:p>
    <w:p>
      <w:pPr>
        <w:numPr>
          <w:ilvl w:val="0"/>
          <w:numId w:val="1"/>
        </w:numPr>
      </w:pPr>
      <w:r>
        <w:t>The page configuration enables shipping-condition display.</w:t>
      </w:r>
    </w:p>
    <w:p>
      <w:pPr>
        <w:numPr>
          <w:ilvl w:val="0"/>
          <w:numId w:val="1"/>
        </w:numPr>
      </w:pPr>
      <w:r>
        <w:t>The Product Details section is present.</w:t>
      </w:r>
    </w:p>
    <w:p>
      <w:pPr>
        <w:numPr>
          <w:ilvl w:val="0"/>
          <w:numId w:val="1"/>
        </w:numPr>
      </w:pPr>
      <w:r>
        <w:t>Product Details displays tested applications and dilution values.</w:t>
      </w:r>
    </w:p>
    <w:p>
      <w:pPr>
        <w:numPr>
          <w:ilvl w:val="0"/>
          <w:numId w:val="1"/>
        </w:numPr>
      </w:pPr>
      <w:r>
        <w:t>Product Specifications are present.</w:t>
      </w:r>
    </w:p>
    <w:p>
      <w:pPr>
        <w:numPr>
          <w:ilvl w:val="0"/>
          <w:numId w:val="1"/>
        </w:numPr>
      </w:pPr>
      <w:r>
        <w:t>Product Specifications include species reactivity, host/isotype, class, type, immunogen, conjugate, excitation/emission maximum, form, concentration, amount, purification, storage buffer, contents, storage conditions, shipping conditions, RRID, target, cross adsorption, and antibody form.</w:t>
      </w:r>
    </w:p>
    <w:p>
      <w:pPr>
        <w:numPr>
          <w:ilvl w:val="0"/>
          <w:numId w:val="1"/>
        </w:numPr>
      </w:pPr>
      <w:r>
        <w:t>The page displays View additional formats for conjugate options.</w:t>
      </w:r>
    </w:p>
    <w:p>
      <w:pPr>
        <w:numPr>
          <w:ilvl w:val="0"/>
          <w:numId w:val="1"/>
        </w:numPr>
      </w:pPr>
      <w:r>
        <w:t>The page displays Request custom conjugation.</w:t>
      </w:r>
    </w:p>
    <w:p>
      <w:pPr>
        <w:numPr>
          <w:ilvl w:val="0"/>
          <w:numId w:val="1"/>
        </w:numPr>
      </w:pPr>
      <w:r>
        <w:t>The page displays Product Specific Information.</w:t>
      </w:r>
    </w:p>
    <w:p>
      <w:pPr>
        <w:numPr>
          <w:ilvl w:val="0"/>
          <w:numId w:val="1"/>
        </w:numPr>
      </w:pPr>
      <w:r>
        <w:t>The page displays Target Information.</w:t>
      </w:r>
    </w:p>
    <w:p>
      <w:pPr>
        <w:numPr>
          <w:ilvl w:val="0"/>
          <w:numId w:val="1"/>
        </w:numPr>
      </w:pPr>
      <w:r>
        <w:t>The page displays For Research Use Only, Not for use in diagnostic procedures, and not-for-resale notices.</w:t>
      </w:r>
    </w:p>
    <w:p>
      <w:pPr>
        <w:numPr>
          <w:ilvl w:val="0"/>
          <w:numId w:val="1"/>
        </w:numPr>
      </w:pPr>
      <w:r>
        <w:t>The page displays References (0).</w:t>
      </w:r>
    </w:p>
    <w:p>
      <w:pPr>
        <w:numPr>
          <w:ilvl w:val="0"/>
          <w:numId w:val="1"/>
        </w:numPr>
      </w:pPr>
      <w:r>
        <w:t>The page asks users to report publications citing the product when references are zero.</w:t>
      </w:r>
    </w:p>
    <w:p>
      <w:pPr>
        <w:numPr>
          <w:ilvl w:val="0"/>
          <w:numId w:val="1"/>
        </w:numPr>
      </w:pPr>
      <w:r>
        <w:t>The page provides a Cite this product action.</w:t>
      </w:r>
    </w:p>
    <w:p>
      <w:pPr>
        <w:numPr>
          <w:ilvl w:val="0"/>
          <w:numId w:val="1"/>
        </w:numPr>
      </w:pPr>
      <w:r>
        <w:t xml:space="preserve">The page exposes </w:t>
      </w:r>
      <w:r>
        <w:rPr>
          <w:rFonts w:ascii="Consolas" w:hAnsi="Consolas"/>
          <w:sz w:val="20"/>
        </w:rPr>
        <w:t>referenceCount = 0</w:t>
      </w:r>
      <w:r>
        <w:t>.</w:t>
      </w:r>
    </w:p>
    <w:p>
      <w:pPr>
        <w:numPr>
          <w:ilvl w:val="0"/>
          <w:numId w:val="1"/>
        </w:numPr>
      </w:pPr>
      <w:r>
        <w:t xml:space="preserve">The page exposes </w:t>
      </w:r>
      <w:r>
        <w:rPr>
          <w:rFonts w:ascii="Consolas" w:hAnsi="Consolas"/>
          <w:sz w:val="20"/>
        </w:rPr>
        <w:t>publishedFiguresCount = 76</w:t>
      </w:r>
      <w:r>
        <w:t>.</w:t>
      </w:r>
    </w:p>
    <w:p>
      <w:pPr>
        <w:numPr>
          <w:ilvl w:val="0"/>
          <w:numId w:val="1"/>
        </w:numPr>
      </w:pPr>
      <w:r>
        <w:t>The page exposes the Q&amp;A widget configuration.</w:t>
      </w:r>
    </w:p>
    <w:p>
      <w:pPr>
        <w:numPr>
          <w:ilvl w:val="0"/>
          <w:numId w:val="1"/>
        </w:numPr>
      </w:pPr>
      <w:r>
        <w:t>The page exposes related-products widget configuration.</w:t>
      </w:r>
    </w:p>
    <w:p>
      <w:pPr>
        <w:numPr>
          <w:ilvl w:val="0"/>
          <w:numId w:val="1"/>
        </w:numPr>
      </w:pPr>
      <w:r>
        <w:t>The page configuration includes secondary antibody in Q&amp;A-enabled and related-products-enabled product subtypes.</w:t>
      </w:r>
    </w:p>
    <w:p>
      <w:r>
        <w:t/>
      </w:r>
    </w:p>
    <w:p>
      <w:pPr>
        <w:pStyle w:val="Heading2"/>
      </w:pPr>
      <w:r>
        <w:t>Supported By Repository Logic, Not Fully Proven By Static Page HTML</w:t>
      </w:r>
    </w:p>
    <w:p>
      <w:r>
        <w:t/>
      </w:r>
    </w:p>
    <w:p>
      <w:pPr>
        <w:numPr>
          <w:ilvl w:val="0"/>
          <w:numId w:val="1"/>
        </w:numPr>
      </w:pPr>
      <w:r>
        <w:t>Product banners are shown when a package is long-term unavailable, discontinued, or has a banner message.</w:t>
      </w:r>
    </w:p>
    <w:p>
      <w:pPr>
        <w:numPr>
          <w:ilvl w:val="0"/>
          <w:numId w:val="1"/>
        </w:numPr>
      </w:pPr>
      <w:r>
        <w:t>The generic banner message updates when the selected package changes.</w:t>
      </w:r>
    </w:p>
    <w:p>
      <w:pPr>
        <w:numPr>
          <w:ilvl w:val="0"/>
          <w:numId w:val="1"/>
        </w:numPr>
      </w:pPr>
      <w:r>
        <w:t>Long-term-unavailable and discontinued banners use different user-facing messages and Technical Support paths.</w:t>
      </w:r>
    </w:p>
    <w:p>
      <w:pPr>
        <w:numPr>
          <w:ilvl w:val="0"/>
          <w:numId w:val="1"/>
        </w:numPr>
      </w:pPr>
      <w:r>
        <w:t>Multipack commerce cards use the selected package for SKU, price, availability, data-sheet selection, and banner refresh.</w:t>
      </w:r>
    </w:p>
    <w:p>
      <w:pPr>
        <w:numPr>
          <w:ilvl w:val="0"/>
          <w:numId w:val="1"/>
        </w:numPr>
      </w:pPr>
      <w:r>
        <w:t>Child package SKUs with ERR#1100 or ERR#1200 price messages are removed from the package selector, except for the parent SKU.</w:t>
      </w:r>
    </w:p>
    <w:p>
      <w:pPr>
        <w:numPr>
          <w:ilvl w:val="0"/>
          <w:numId w:val="1"/>
        </w:numPr>
      </w:pPr>
      <w:r>
        <w:t>Pricing failures default to View price in cart with Add to Cart before long-term-unavailable, discontinued, and error rules are applied.</w:t>
      </w:r>
    </w:p>
    <w:p>
      <w:pPr>
        <w:numPr>
          <w:ilvl w:val="0"/>
          <w:numId w:val="1"/>
        </w:numPr>
      </w:pPr>
      <w:r>
        <w:t>Long-term-unavailable packages are not orderable and use Contact Us.</w:t>
      </w:r>
    </w:p>
    <w:p>
      <w:pPr>
        <w:numPr>
          <w:ilvl w:val="0"/>
          <w:numId w:val="1"/>
        </w:numPr>
      </w:pPr>
      <w:r>
        <w:t>Discontinued packages are not orderable.</w:t>
      </w:r>
    </w:p>
    <w:p>
      <w:pPr>
        <w:numPr>
          <w:ilvl w:val="0"/>
          <w:numId w:val="1"/>
        </w:numPr>
      </w:pPr>
      <w:r>
        <w:t>Pricing Error action values make a package not orderable.</w:t>
      </w:r>
    </w:p>
    <w:p>
      <w:pPr>
        <w:numPr>
          <w:ilvl w:val="0"/>
          <w:numId w:val="1"/>
        </w:numPr>
      </w:pPr>
      <w:r>
        <w:t>Add to Cart is allowed only for orderable packages and valid quantities from 1 through 9,999.</w:t>
      </w:r>
    </w:p>
    <w:p>
      <w:pPr>
        <w:numPr>
          <w:ilvl w:val="0"/>
          <w:numId w:val="1"/>
        </w:numPr>
      </w:pPr>
      <w:r>
        <w:t>Quantity entry below 1 is reset to 1, and quantity entry above 9,999 is reset to 9,999.</w:t>
      </w:r>
    </w:p>
    <w:p>
      <w:pPr>
        <w:numPr>
          <w:ilvl w:val="0"/>
          <w:numId w:val="1"/>
        </w:numPr>
      </w:pPr>
      <w:r>
        <w:t>Availability display depends on country or login context, the selected package, and the availability API result.</w:t>
      </w:r>
    </w:p>
    <w:p>
      <w:pPr>
        <w:numPr>
          <w:ilvl w:val="0"/>
          <w:numId w:val="1"/>
        </w:numPr>
      </w:pPr>
      <w:r>
        <w:t>In-stock availability is displayed when available quantity is greater than zero.</w:t>
      </w:r>
    </w:p>
    <w:p>
      <w:pPr>
        <w:numPr>
          <w:ilvl w:val="0"/>
          <w:numId w:val="1"/>
        </w:numPr>
      </w:pPr>
      <w:r>
        <w:t>Estimated availability is displayed when availability is enabled, the package is orderable, estimated availability is enabled, and the availability result requires an estimate.</w:t>
      </w:r>
    </w:p>
    <w:p>
      <w:pPr>
        <w:numPr>
          <w:ilvl w:val="0"/>
          <w:numId w:val="1"/>
        </w:numPr>
      </w:pPr>
      <w:r>
        <w:t>Pending estimated availability is displayed when the availability date is pending or missing.</w:t>
      </w:r>
    </w:p>
    <w:p>
      <w:pPr>
        <w:numPr>
          <w:ilvl w:val="0"/>
          <w:numId w:val="1"/>
        </w:numPr>
      </w:pPr>
      <w:r>
        <w:t>Dealer-enabled signed-in availability can show partial stock, domestic stock, overseas stock, and estimated availability.</w:t>
      </w:r>
    </w:p>
    <w:p>
      <w:pPr>
        <w:numPr>
          <w:ilvl w:val="0"/>
          <w:numId w:val="1"/>
        </w:numPr>
      </w:pPr>
      <w:r>
        <w:t>Product structured data removes offer data when price, availability, or orderable status is not valid.</w:t>
      </w:r>
    </w:p>
    <w:p>
      <w:pPr>
        <w:numPr>
          <w:ilvl w:val="0"/>
          <w:numId w:val="1"/>
        </w:numPr>
      </w:pPr>
      <w:r>
        <w:t>BenchSci reference cards display images and published figures with a BenchSci icon when secondary antibody reference cards exist.</w:t>
      </w:r>
    </w:p>
    <w:p>
      <w:pPr>
        <w:numPr>
          <w:ilvl w:val="0"/>
          <w:numId w:val="1"/>
        </w:numPr>
      </w:pPr>
      <w:r>
        <w:t>Non-BenchSci reference cards display species, dilution, description, and authors when secondary antibody reference cards exist.</w:t>
      </w:r>
    </w:p>
    <w:p>
      <w:pPr>
        <w:numPr>
          <w:ilvl w:val="0"/>
          <w:numId w:val="1"/>
        </w:numPr>
      </w:pPr>
      <w:r>
        <w:t>Secondary antibody related-product graph records are created only from source rows whose type is Secondary Antibody.</w:t>
      </w:r>
    </w:p>
    <w:p>
      <w:pPr>
        <w:numPr>
          <w:ilvl w:val="0"/>
          <w:numId w:val="1"/>
        </w:numPr>
      </w:pPr>
      <w:r>
        <w:t>Secondary antibody related-product relationships split target species, target class, isotype, conjugate, and application values according to the configured parsing rules.</w:t>
      </w:r>
    </w:p>
    <w:p>
      <w:pPr>
        <w:numPr>
          <w:ilvl w:val="0"/>
          <w:numId w:val="1"/>
        </w:numPr>
      </w:pPr>
      <w:r>
        <w:t>Secondary antibody Q&amp;A matching includes exact SKU matches and keyword-filter matches.</w:t>
      </w:r>
    </w:p>
    <w:p>
      <w:pPr>
        <w:numPr>
          <w:ilvl w:val="0"/>
          <w:numId w:val="1"/>
        </w:numPr>
      </w:pPr>
      <w:r>
        <w:t>Secondary antibody Q&amp;A sorting and error behavior follow the shared Q&amp;A service rules.</w:t>
      </w:r>
    </w:p>
    <w:p>
      <w:r>
        <w:t/>
      </w:r>
    </w:p>
    <w:p>
      <w:pPr>
        <w:pStyle w:val="Heading2"/>
      </w:pPr>
      <w:r>
        <w:t>Product Rules Needing Review Or Rewording</w:t>
      </w:r>
    </w:p>
    <w:p>
      <w:r>
        <w:t/>
      </w:r>
    </w:p>
    <w:p>
      <w:pPr>
        <w:numPr>
          <w:ilvl w:val="0"/>
          <w:numId w:val="1"/>
        </w:numPr>
      </w:pPr>
      <w:r>
        <w:t>The product example does not display Bioinformatics. Do not include Bioinformatics display rules for secondary antibodies unless another current secondary product page or active implementation evidence confirms them.</w:t>
      </w:r>
    </w:p>
    <w:p>
      <w:pPr>
        <w:numPr>
          <w:ilvl w:val="0"/>
          <w:numId w:val="1"/>
        </w:numPr>
      </w:pPr>
      <w:r>
        <w:t>The older Bioinformatics feature evidence includes primary antibodies, isotype controls, and proteins/peptides, but not secondary antibodies.</w:t>
      </w:r>
    </w:p>
    <w:p>
      <w:pPr>
        <w:numPr>
          <w:ilvl w:val="0"/>
          <w:numId w:val="1"/>
        </w:numPr>
      </w:pPr>
      <w:r>
        <w:t>The QA page static HTML confirms the product order model and banner message, but live commerce price and availability values require browser execution and commerce API responses.</w:t>
      </w:r>
    </w:p>
    <w:p>
      <w:pPr>
        <w:numPr>
          <w:ilvl w:val="0"/>
          <w:numId w:val="1"/>
        </w:numPr>
      </w:pPr>
      <w:r>
        <w:t>The product order model marks both A32723TR and A32723 as not orderable before dynamic pricing is applied; the final Add to Cart state should be verified after pricing resolves in the browser.</w:t>
      </w:r>
    </w:p>
    <w:p>
      <w:pPr>
        <w:numPr>
          <w:ilvl w:val="0"/>
          <w:numId w:val="1"/>
        </w:numPr>
      </w:pPr>
      <w:r>
        <w:t>The product page exposes lead-time fields for EU and CN package data, but the reviewed evidence did not confirm a visible secondary PDP lead-time rule for this example.</w:t>
      </w:r>
    </w:p>
    <w:p>
      <w:pPr>
        <w:numPr>
          <w:ilvl w:val="0"/>
          <w:numId w:val="1"/>
        </w:numPr>
      </w:pPr>
      <w:r>
        <w:t xml:space="preserve">Reference sorting rules were not confirmed on the secondary product example. The QA configuration includes </w:t>
      </w:r>
      <w:r>
        <w:rPr>
          <w:rFonts w:ascii="Consolas" w:hAnsi="Consolas"/>
          <w:sz w:val="20"/>
        </w:rPr>
        <w:t>referenceSortByFilterRemoved:true</w:t>
      </w:r>
      <w:r>
        <w:t>, so reference-sort rules should not be presented as active secondary PDP behavior without further active implementation evidence.</w:t>
      </w:r>
    </w:p>
    <w:p>
      <w:pPr>
        <w:numPr>
          <w:ilvl w:val="0"/>
          <w:numId w:val="1"/>
        </w:numPr>
      </w:pPr>
      <w:r>
        <w:t>The product page shows 76 published figures while the configuration exposes a maximum published-image value of 40. Published-figure count versus display cap should be verified in the active image-gallery implementation.</w:t>
      </w:r>
    </w:p>
    <w:p>
      <w:pPr>
        <w:numPr>
          <w:ilvl w:val="0"/>
          <w:numId w:val="1"/>
        </w:numPr>
      </w:pPr>
      <w:r>
        <w:t>The secondary product page has zero references, so detailed reference-card field behavior was not visible on this example.</w:t>
      </w:r>
    </w:p>
    <w:p>
      <w:r>
        <w:t/>
      </w:r>
    </w:p>
    <w:p>
      <w:pPr>
        <w:pStyle w:val="Heading1"/>
      </w:pPr>
      <w:r>
        <w:t>Suggested Improvements</w:t>
      </w:r>
    </w:p>
    <w:p>
      <w:r>
        <w:t/>
      </w:r>
    </w:p>
    <w:p>
      <w:pPr>
        <w:numPr>
          <w:ilvl w:val="0"/>
          <w:numId w:val="1"/>
        </w:numPr>
      </w:pPr>
      <w:r>
        <w:t>Add a rule-level verification status to future outputs: Confirmed on QA page, Supported by repository logic, Configuration-supported, Requires interaction test, or Needs recheck.</w:t>
      </w:r>
    </w:p>
    <w:p>
      <w:pPr>
        <w:numPr>
          <w:ilvl w:val="0"/>
          <w:numId w:val="1"/>
        </w:numPr>
      </w:pPr>
      <w:r>
        <w:t>Keep secondary antibody Q&amp;A rules separate from primary antibody Q&amp;A rules because the keyword fields differ.</w:t>
      </w:r>
    </w:p>
    <w:p>
      <w:pPr>
        <w:numPr>
          <w:ilvl w:val="0"/>
          <w:numId w:val="1"/>
        </w:numPr>
      </w:pPr>
      <w:r>
        <w:t>Do not copy primary antibody Bioinformatics rules into secondary antibody product-series documents unless active secondary evidence exists.</w:t>
      </w:r>
    </w:p>
    <w:p>
      <w:pPr>
        <w:numPr>
          <w:ilvl w:val="0"/>
          <w:numId w:val="1"/>
        </w:numPr>
      </w:pPr>
      <w:r>
        <w:t>Add Playwright verification for search filters, sorting, Load More, compare selection limits, typeahead behavior, Q&amp;A widget loading, related-products rendering, and product detail section navigation.</w:t>
      </w:r>
    </w:p>
    <w:p>
      <w:pPr>
        <w:numPr>
          <w:ilvl w:val="0"/>
          <w:numId w:val="1"/>
        </w:numPr>
      </w:pPr>
      <w:r>
        <w:t>Add Playwright verification for PDP package-size switching, commerce card price states, Add to Cart enablement, quantity bounds, Check Your Price links, banner close behavior, and estimated availability display.</w:t>
      </w:r>
    </w:p>
    <w:p>
      <w:pPr>
        <w:numPr>
          <w:ilvl w:val="0"/>
          <w:numId w:val="1"/>
        </w:numPr>
      </w:pPr>
      <w:r>
        <w:t>Add authenticated and anonymous commerce checks because price and availability behavior changes by login context.</w:t>
      </w:r>
    </w:p>
    <w:p>
      <w:pPr>
        <w:numPr>
          <w:ilvl w:val="0"/>
          <w:numId w:val="1"/>
        </w:numPr>
      </w:pPr>
      <w:r>
        <w:t>Add country-specific checks for US, CN, JP, and one country outside the new availability list to verify availability and dealer-display branches.</w:t>
      </w:r>
    </w:p>
    <w:p>
      <w:pPr>
        <w:numPr>
          <w:ilvl w:val="0"/>
          <w:numId w:val="1"/>
        </w:numPr>
      </w:pPr>
      <w:r>
        <w:t>Add current configuration rules when they affect behavior, including result count, keyword length, filter-enabled subtypes, typeahead-enabled subtypes, Q&amp;A-enabled subtypes, related-products-enabled subtypes, badge enablement, and published-image limits.</w:t>
      </w:r>
    </w:p>
    <w:p>
      <w:pPr>
        <w:numPr>
          <w:ilvl w:val="0"/>
          <w:numId w:val="1"/>
        </w:numPr>
      </w:pPr>
      <w:r>
        <w:t>Recheck reference sorting on a secondary antibody product with nonzero references before documenting it as active behavior.</w:t>
      </w:r>
    </w:p>
    <w:p>
      <w:pPr>
        <w:numPr>
          <w:ilvl w:val="0"/>
          <w:numId w:val="1"/>
        </w:numPr>
      </w:pPr>
      <w:r>
        <w:t>Recheck the published-figure cap by comparing the displayed count, loaded gallery items, and configured image limits.</w:t>
      </w:r>
    </w:p>
    <w:p>
      <w:pPr>
        <w:numPr>
          <w:ilvl w:val="0"/>
          <w:numId w:val="1"/>
        </w:numPr>
      </w:pPr>
      <w:r>
        <w:t>Recheck FisherSci search-result pricing batch behavior against the active runtime bundle and configuration.</w:t>
      </w:r>
    </w:p>
    <w:p>
      <w:pPr>
        <w:numPr>
          <w:ilvl w:val="0"/>
          <w:numId w:val="1"/>
        </w:numPr>
      </w:pPr>
      <w:r>
        <w:t>Recheck PDP commerce pricing against the active pricing API and user entitlement responses.</w:t>
      </w:r>
    </w:p>
    <w:p>
      <w:pPr>
        <w:numPr>
          <w:ilvl w:val="0"/>
          <w:numId w:val="1"/>
        </w:numPr>
      </w:pPr>
      <w:r>
        <w:t>Add an example-specific evidence appendix outside the final business-rule documents for traceability.</w:t>
      </w:r>
    </w:p>
    <w:p>
      <w:r>
        <w:t/>
      </w:r>
    </w:p>
    <w:p>
      <w:pPr>
        <w:pStyle w:val="Heading1"/>
      </w:pPr>
      <w:r>
        <w:t>Recommended Rule Updates</w:t>
      </w:r>
    </w:p>
    <w:p>
      <w:r>
        <w:t/>
      </w:r>
    </w:p>
    <w:p>
      <w:pPr>
        <w:numPr>
          <w:ilvl w:val="0"/>
          <w:numId w:val="1"/>
        </w:numPr>
      </w:pPr>
      <w:r>
        <w:t>Do not include a Secondary Antibody Bioinformatics section in the business-rule document unless an active secondary Bioinformatics implementation is found.</w:t>
      </w:r>
    </w:p>
    <w:p>
      <w:pPr>
        <w:numPr>
          <w:ilvl w:val="0"/>
          <w:numId w:val="1"/>
        </w:numPr>
      </w:pPr>
      <w:r>
        <w:t xml:space="preserve">Add </w:t>
      </w:r>
      <w:r>
        <w:rPr>
          <w:rFonts w:ascii="Consolas" w:hAnsi="Consolas"/>
          <w:sz w:val="20"/>
        </w:rPr>
        <w:t>Secondary antibody search result count is configured as 50 results for the secondary antibody subtype</w:t>
      </w:r>
      <w:r>
        <w:t>.</w:t>
      </w:r>
    </w:p>
    <w:p>
      <w:pPr>
        <w:numPr>
          <w:ilvl w:val="0"/>
          <w:numId w:val="1"/>
        </w:numPr>
      </w:pPr>
      <w:r>
        <w:t xml:space="preserve">Add </w:t>
      </w:r>
      <w:r>
        <w:rPr>
          <w:rFonts w:ascii="Consolas" w:hAnsi="Consolas"/>
          <w:sz w:val="20"/>
        </w:rPr>
        <w:t>Secondary antibody search keyword length is constrained by the configured keyword limit of 250 characters</w:t>
      </w:r>
      <w:r>
        <w:t>.</w:t>
      </w:r>
    </w:p>
    <w:p>
      <w:pPr>
        <w:numPr>
          <w:ilvl w:val="0"/>
          <w:numId w:val="1"/>
        </w:numPr>
      </w:pPr>
      <w:r>
        <w:t xml:space="preserve">Add </w:t>
      </w:r>
      <w:r>
        <w:rPr>
          <w:rFonts w:ascii="Consolas" w:hAnsi="Consolas"/>
          <w:sz w:val="20"/>
        </w:rPr>
        <w:t>Newer typeahead is not enabled for secondary antibody unless the secondary antibody subtype is included in the newer-typeahead subtype list</w:t>
      </w:r>
      <w:r>
        <w:t>.</w:t>
      </w:r>
    </w:p>
    <w:p>
      <w:pPr>
        <w:numPr>
          <w:ilvl w:val="0"/>
          <w:numId w:val="1"/>
        </w:numPr>
      </w:pPr>
      <w:r>
        <w:t xml:space="preserve">Add </w:t>
      </w:r>
      <w:r>
        <w:rPr>
          <w:rFonts w:ascii="Consolas" w:hAnsi="Consolas"/>
          <w:sz w:val="20"/>
        </w:rPr>
        <w:t>When a secondary antibody package has a banner message, the product page displays that banner message</w:t>
      </w:r>
      <w:r>
        <w:t>.</w:t>
      </w:r>
    </w:p>
    <w:p>
      <w:pPr>
        <w:numPr>
          <w:ilvl w:val="0"/>
          <w:numId w:val="1"/>
        </w:numPr>
      </w:pPr>
      <w:r>
        <w:t xml:space="preserve">Add </w:t>
      </w:r>
      <w:r>
        <w:rPr>
          <w:rFonts w:ascii="Consolas" w:hAnsi="Consolas"/>
          <w:sz w:val="20"/>
        </w:rPr>
        <w:t>When a secondary antibody package size is selected, the commerce card, availability check, data sheet selection, and banner message use the selected package</w:t>
      </w:r>
      <w:r>
        <w:t>.</w:t>
      </w:r>
    </w:p>
    <w:p>
      <w:pPr>
        <w:numPr>
          <w:ilvl w:val="0"/>
          <w:numId w:val="1"/>
        </w:numPr>
      </w:pPr>
      <w:r>
        <w:t xml:space="preserve">Add </w:t>
      </w:r>
      <w:r>
        <w:rPr>
          <w:rFonts w:ascii="Consolas" w:hAnsi="Consolas"/>
          <w:sz w:val="20"/>
        </w:rPr>
        <w:t>Add to Cart is available only when the selected secondary antibody package is orderable and the quantity is between 1 and 9,999</w:t>
      </w:r>
      <w:r>
        <w:t>.</w:t>
      </w:r>
    </w:p>
    <w:p>
      <w:pPr>
        <w:numPr>
          <w:ilvl w:val="0"/>
          <w:numId w:val="1"/>
        </w:numPr>
      </w:pPr>
      <w:r>
        <w:t xml:space="preserve">Add </w:t>
      </w:r>
      <w:r>
        <w:rPr>
          <w:rFonts w:ascii="Consolas" w:hAnsi="Consolas"/>
          <w:sz w:val="20"/>
        </w:rPr>
        <w:t>Estimated availability is displayed only when estimated availability is enabled, availability is enabled for the current context, the selected package is orderable, and the availability result requires an estimate</w:t>
      </w:r>
      <w:r>
        <w:t>.</w:t>
      </w:r>
    </w:p>
    <w:p>
      <w:pPr>
        <w:numPr>
          <w:ilvl w:val="0"/>
          <w:numId w:val="1"/>
        </w:numPr>
      </w:pPr>
      <w:r>
        <w:t xml:space="preserve">Add </w:t>
      </w:r>
      <w:r>
        <w:rPr>
          <w:rFonts w:ascii="Consolas" w:hAnsi="Consolas"/>
          <w:sz w:val="20"/>
        </w:rPr>
        <w:t>When a secondary antibody product has zero references, the product page displays References (0)</w:t>
      </w:r>
      <w:r>
        <w:t>.</w:t>
      </w:r>
    </w:p>
    <w:p>
      <w:pPr>
        <w:numPr>
          <w:ilvl w:val="0"/>
          <w:numId w:val="1"/>
        </w:numPr>
      </w:pPr>
      <w:r>
        <w:t xml:space="preserve">Add </w:t>
      </w:r>
      <w:r>
        <w:rPr>
          <w:rFonts w:ascii="Consolas" w:hAnsi="Consolas"/>
          <w:sz w:val="20"/>
        </w:rPr>
        <w:t>When a secondary antibody product has zero references, the product page asks users to report publications citing the product</w:t>
      </w:r>
      <w:r>
        <w:t>.</w:t>
      </w:r>
    </w:p>
    <w:p>
      <w:pPr>
        <w:numPr>
          <w:ilvl w:val="0"/>
          <w:numId w:val="1"/>
        </w:numPr>
      </w:pPr>
      <w:r>
        <w:t xml:space="preserve">Add </w:t>
      </w:r>
      <w:r>
        <w:rPr>
          <w:rFonts w:ascii="Consolas" w:hAnsi="Consolas"/>
          <w:sz w:val="20"/>
        </w:rPr>
        <w:t>When a secondary antibody product has zero references, the product page provides a Cite this product action</w:t>
      </w:r>
      <w:r>
        <w:t>.</w:t>
      </w:r>
    </w:p>
    <w:p>
      <w:pPr>
        <w:numPr>
          <w:ilvl w:val="0"/>
          <w:numId w:val="1"/>
        </w:numPr>
      </w:pPr>
      <w:r>
        <w:t>Mark Reference sorting rules as requiring active secondary implementation confirmation.</w:t>
      </w:r>
    </w:p>
    <w:p>
      <w:pPr>
        <w:numPr>
          <w:ilvl w:val="0"/>
          <w:numId w:val="1"/>
        </w:numPr>
      </w:pPr>
      <w:r>
        <w:t>Mark published-figure cap behavior as requiring active implementation confirmation for secondary antibody PDPs.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Aptos" w:hAnsi="Aptos"/>
      <w:sz w:val="22"/>
    </w:rPr>
  </w:style>
  <w:style w:type="paragraph" w:styleId="Title">
    <w:name w:val="Title"/>
    <w:basedOn w:val="Normal"/>
    <w:next w:val="Normal"/>
    <w:qFormat/>
    <w:pPr>
      <w:spacing w:after="240"/>
    </w:pPr>
    <w:rPr>
      <w:b/>
      <w:sz w:val="36"/>
    </w:rPr>
  </w:style>
  <w:style w:type="paragraph" w:styleId="Heading1">
    <w:name w:val="heading 1"/>
    <w:basedOn w:val="Normal"/>
    <w:next w:val="Normal"/>
    <w:qFormat/>
    <w:pPr>
      <w:keepNext/>
      <w:spacing w:before="280" w:after="120"/>
      <w:outlineLvl w:val="0"/>
    </w:pPr>
    <w:rPr>
      <w:b/>
      <w:sz w:val="30"/>
    </w:rPr>
  </w:style>
  <w:style w:type="paragraph" w:styleId="Heading2">
    <w:name w:val="heading 2"/>
    <w:basedOn w:val="Normal"/>
    <w:next w:val="Normal"/>
    <w:qFormat/>
    <w:pPr>
      <w:keepNext/>
      <w:spacing w:before="22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180" w:after="80"/>
      <w:outlineLvl w:val="2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
</file>