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TaqMan Assays Rules Verification Report</w:t>
      </w:r>
    </w:p>
    <w:p>
      <w:pPr>
        <w:pStyle w:val="Heading1"/>
      </w:pPr>
      <w:r>
        <w:t xml:space="preserve">Verification Summary</w:t>
      </w:r>
    </w:p>
    <w:p>
      <w:pPr>
        <w:numPr>
          <w:ilvl w:val="0"/>
          <w:numId w:val="1"/>
        </w:numPr>
      </w:pPr>
      <w:r>
        <w:t xml:space="preserve">The TaqMan Search rules were verified against the QA TaqMan search page, the deployed TaqMan UI bundle, live search-count and search-result payloads, and GitHub repository search evidence for the TaqMan UI/configuration repositories.</w:t>
      </w:r>
    </w:p>
    <w:p>
      <w:pPr>
        <w:numPr>
          <w:ilvl w:val="0"/>
          <w:numId w:val="1"/>
        </w:numPr>
      </w:pPr>
      <w:r>
        <w:t xml:space="preserve">The TaqMan Product Series rules were verified against the provided product examples for Microbe Detection/Gene Expression, SNP Genotyping, Copy Number, Advanced miRNA, Classic MicroRNA, Pri-miRNA, and miRNA Array catalog product pages.</w:t>
      </w:r>
    </w:p>
    <w:p>
      <w:pPr>
        <w:numPr>
          <w:ilvl w:val="0"/>
          <w:numId w:val="1"/>
        </w:numPr>
      </w:pPr>
      <w:r>
        <w:t xml:space="preserve">The captured rules are consistent with the examples reviewed. The main nuance is that Microbe Detection is counted as a separate search family, but the provided Microbe Detection product example is rendered under the Gene Expression product URL family.</w:t>
      </w:r>
    </w:p>
    <w:p>
      <w:pPr>
        <w:pStyle w:val="Heading1"/>
      </w:pPr>
      <w:r>
        <w:t xml:space="preserve">Evidence Reviewed</w:t>
      </w:r>
    </w:p>
    <w:p>
      <w:pPr>
        <w:numPr>
          <w:ilvl w:val="0"/>
          <w:numId w:val="1"/>
        </w:numPr>
      </w:pPr>
      <w:r>
        <w:t xml:space="preserve">Prompt file: </w:t>
      </w:r>
      <w:r>
        <w:rPr>
          <w:rStyle w:val="CodeChar"/>
        </w:rPr>
        <w:t xml:space="preserve">/Users/aswathy.n/Downloads/business-rule-extraction-prompt-v3.md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GitHub repositories identified through the Thermo Fisher GitHub connector: </w:t>
      </w:r>
      <w:r>
        <w:rPr>
          <w:rStyle w:val="CodeChar"/>
        </w:rPr>
        <w:t xml:space="preserve">magellan-search-taqman-ui</w:t>
      </w:r>
      <w:r>
        <w:t xml:space="preserve">, </w:t>
      </w:r>
      <w:r>
        <w:rPr>
          <w:rStyle w:val="CodeChar"/>
        </w:rPr>
        <w:t xml:space="preserve">magellan-search-taqman-ui-react</w:t>
      </w:r>
      <w:r>
        <w:t xml:space="preserve">, </w:t>
      </w:r>
      <w:r>
        <w:rPr>
          <w:rStyle w:val="CodeChar"/>
        </w:rPr>
        <w:t xml:space="preserve">magellan-taqman-configurator</w:t>
      </w:r>
      <w:r>
        <w:t xml:space="preserve">, and </w:t>
      </w:r>
      <w:r>
        <w:rPr>
          <w:rStyle w:val="CodeChar"/>
        </w:rPr>
        <w:t xml:space="preserve">magellan-search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GitHub search evidence included TaqMan UI route, search service, product type selector, result row, analytics, store, and configurator assay-search files.</w:t>
      </w:r>
    </w:p>
    <w:p>
      <w:pPr>
        <w:numPr>
          <w:ilvl w:val="0"/>
          <w:numId w:val="1"/>
        </w:numPr>
      </w:pPr>
      <w:r>
        <w:t xml:space="preserve">Live QA/production example pages reviewed:</w:t>
      </w:r>
    </w:p>
    <w:p>
      <w:r>
        <w:t xml:space="preserve">- </w:t>
      </w:r>
      <w:r>
        <w:rPr>
          <w:rStyle w:val="CodeChar"/>
        </w:rPr>
        <w:t xml:space="preserve">https://www.qa.thermofisher.com/taqman/results?keyword=*</w:t>
      </w:r>
    </w:p>
    <w:p>
      <w:r>
        <w:t xml:space="preserve">- </w:t>
      </w:r>
      <w:r>
        <w:rPr>
          <w:rStyle w:val="CodeChar"/>
        </w:rPr>
        <w:t xml:space="preserve">https://www.thermofisher.com/taqman-gene-expression/product/Ba07922347_s1?CID=&amp;ICID=&amp;subtype=</w:t>
      </w:r>
    </w:p>
    <w:p>
      <w:r>
        <w:t xml:space="preserve">- </w:t>
      </w:r>
      <w:r>
        <w:rPr>
          <w:rStyle w:val="CodeChar"/>
        </w:rPr>
        <w:t xml:space="preserve">https://www.qa.thermofisher.com/order/genome-database/details/genotyping/C___1933671_10</w:t>
      </w:r>
    </w:p>
    <w:p>
      <w:r>
        <w:t xml:space="preserve">- </w:t>
      </w:r>
      <w:r>
        <w:rPr>
          <w:rStyle w:val="CodeChar"/>
        </w:rPr>
        <w:t xml:space="preserve">https://www.qa.thermofisher.com/order/genome-database/details/cnv/Hs00010004_cn</w:t>
      </w:r>
    </w:p>
    <w:p>
      <w:r>
        <w:t xml:space="preserve">- </w:t>
      </w:r>
      <w:r>
        <w:rPr>
          <w:rStyle w:val="CodeChar"/>
        </w:rPr>
        <w:t xml:space="preserve">https://www.qa.thermofisher.com/order/genome-database/details/microrna/478308_mir</w:t>
      </w:r>
    </w:p>
    <w:p>
      <w:r>
        <w:t xml:space="preserve">- </w:t>
      </w:r>
      <w:r>
        <w:rPr>
          <w:rStyle w:val="CodeChar"/>
        </w:rPr>
        <w:t xml:space="preserve">https://www.qa.thermofisher.com/order/genome-database/details/microrna/477768_mat</w:t>
      </w:r>
    </w:p>
    <w:p>
      <w:r>
        <w:t xml:space="preserve">- </w:t>
      </w:r>
      <w:r>
        <w:rPr>
          <w:rStyle w:val="CodeChar"/>
        </w:rPr>
        <w:t xml:space="preserve">https://www.qa.thermofisher.com/order/genome-database/details/microrna/Hs04350362_pri</w:t>
      </w:r>
    </w:p>
    <w:p>
      <w:r>
        <w:t xml:space="preserve">- </w:t>
      </w:r>
      <w:r>
        <w:rPr>
          <w:rStyle w:val="CodeChar"/>
        </w:rPr>
        <w:t xml:space="preserve">https://www.qa.thermofisher.com/order/catalog/product/A31877?CID=&amp;ICID=&amp;subtype=</w:t>
      </w:r>
    </w:p>
    <w:p>
      <w:pPr>
        <w:pStyle w:val="Heading1"/>
      </w:pPr>
      <w:r>
        <w:t xml:space="preserve">Correctness Checks</w:t>
      </w:r>
    </w:p>
    <w:p>
      <w:pPr>
        <w:numPr>
          <w:ilvl w:val="0"/>
          <w:numId w:val="1"/>
        </w:numPr>
      </w:pPr>
      <w:r>
        <w:t xml:space="preserve">The search-count payload confirms the five requested TaqMan families:</w:t>
      </w:r>
    </w:p>
    <w:p>
      <w:r>
        <w:t xml:space="preserve">- Gene Expression: </w:t>
      </w:r>
      <w:r>
        <w:rPr>
          <w:rStyle w:val="CodeChar"/>
        </w:rPr>
        <w:t xml:space="preserve">TAQMAN_GE</w:t>
      </w:r>
      <w:r>
        <w:t xml:space="preserve">, </w:t>
      </w:r>
      <w:r>
        <w:rPr>
          <w:rStyle w:val="CodeChar"/>
        </w:rPr>
        <w:t xml:space="preserve">ARRAY_GX</w:t>
      </w:r>
    </w:p>
    <w:p>
      <w:r>
        <w:t xml:space="preserve">- SNP Genotyping: </w:t>
      </w:r>
      <w:r>
        <w:rPr>
          <w:rStyle w:val="CodeChar"/>
        </w:rPr>
        <w:t xml:space="preserve">GT</w:t>
      </w:r>
    </w:p>
    <w:p>
      <w:r>
        <w:t xml:space="preserve">- Copy Number: </w:t>
      </w:r>
      <w:r>
        <w:rPr>
          <w:rStyle w:val="CodeChar"/>
        </w:rPr>
        <w:t xml:space="preserve">CNV</w:t>
      </w:r>
    </w:p>
    <w:p>
      <w:r>
        <w:t xml:space="preserve">- MicroRNA: </w:t>
      </w:r>
      <w:r>
        <w:rPr>
          <w:rStyle w:val="CodeChar"/>
        </w:rPr>
        <w:t xml:space="preserve">ADVANCED_MIRNA</w:t>
      </w:r>
      <w:r>
        <w:t xml:space="preserve">, </w:t>
      </w:r>
      <w:r>
        <w:rPr>
          <w:rStyle w:val="CodeChar"/>
        </w:rPr>
        <w:t xml:space="preserve">MIRNA_CONTROL_ASSAY</w:t>
      </w:r>
      <w:r>
        <w:t xml:space="preserve">, </w:t>
      </w:r>
      <w:r>
        <w:rPr>
          <w:rStyle w:val="CodeChar"/>
        </w:rPr>
        <w:t xml:space="preserve">PRI_MIRNA</w:t>
      </w:r>
      <w:r>
        <w:t xml:space="preserve">, </w:t>
      </w:r>
      <w:r>
        <w:rPr>
          <w:rStyle w:val="CodeChar"/>
        </w:rPr>
        <w:t xml:space="preserve">ARRAY_MIRNA</w:t>
      </w:r>
    </w:p>
    <w:p>
      <w:r>
        <w:t xml:space="preserve">- Microbe Detection: </w:t>
      </w:r>
      <w:r>
        <w:rPr>
          <w:rStyle w:val="CodeChar"/>
        </w:rPr>
        <w:t xml:space="preserve">MICROBE_DETECTION</w:t>
      </w:r>
      <w:r>
        <w:t xml:space="preserve">, </w:t>
      </w:r>
      <w:r>
        <w:rPr>
          <w:rStyle w:val="CodeChar"/>
        </w:rPr>
        <w:t xml:space="preserve">ANTIBIOTIC_RESISTANCE</w:t>
      </w:r>
    </w:p>
    <w:p>
      <w:pPr>
        <w:numPr>
          <w:ilvl w:val="0"/>
          <w:numId w:val="1"/>
        </w:numPr>
      </w:pPr>
      <w:r>
        <w:t xml:space="preserve">The deployed UI routing confirms subtype-specific search routes for Gene Expression Assays, Gene Expression Arrays, SNP Assays, SNP Custom Arrays, CNV Assays, Advanced miRNA Assays, Classic MicroRNA Assays, Pri-miRNA Assays, and miRNA Arrays.</w:t>
      </w:r>
    </w:p>
    <w:p>
      <w:pPr>
        <w:numPr>
          <w:ilvl w:val="0"/>
          <w:numId w:val="1"/>
        </w:numPr>
      </w:pPr>
      <w:r>
        <w:t xml:space="preserve">The deployed UI search service confirms the MicroRNA subtype normalization used by the search backend: </w:t>
      </w:r>
      <w:r>
        <w:rPr>
          <w:rStyle w:val="CodeChar"/>
        </w:rPr>
        <w:t xml:space="preserve">microrna_advanced</w:t>
      </w:r>
      <w:r>
        <w:t xml:space="preserve"> to </w:t>
      </w:r>
      <w:r>
        <w:rPr>
          <w:rStyle w:val="CodeChar"/>
        </w:rPr>
        <w:t xml:space="preserve">advanced_mirna</w:t>
      </w:r>
      <w:r>
        <w:t xml:space="preserve">, </w:t>
      </w:r>
      <w:r>
        <w:rPr>
          <w:rStyle w:val="CodeChar"/>
        </w:rPr>
        <w:t xml:space="preserve">microrna_classic</w:t>
      </w:r>
      <w:r>
        <w:t xml:space="preserve"> to </w:t>
      </w:r>
      <w:r>
        <w:rPr>
          <w:rStyle w:val="CodeChar"/>
        </w:rPr>
        <w:t xml:space="preserve">classic_mirna</w:t>
      </w:r>
      <w:r>
        <w:t xml:space="preserve">, </w:t>
      </w:r>
      <w:r>
        <w:rPr>
          <w:rStyle w:val="CodeChar"/>
        </w:rPr>
        <w:t xml:space="preserve">microrna_primary</w:t>
      </w:r>
      <w:r>
        <w:t xml:space="preserve"> to </w:t>
      </w:r>
      <w:r>
        <w:rPr>
          <w:rStyle w:val="CodeChar"/>
        </w:rPr>
        <w:t xml:space="preserve">pri_mirna</w:t>
      </w:r>
      <w:r>
        <w:t xml:space="preserve">, and </w:t>
      </w:r>
      <w:r>
        <w:rPr>
          <w:rStyle w:val="CodeChar"/>
        </w:rPr>
        <w:t xml:space="preserve">microrna_array</w:t>
      </w:r>
      <w:r>
        <w:t xml:space="preserve"> to </w:t>
      </w:r>
      <w:r>
        <w:rPr>
          <w:rStyle w:val="CodeChar"/>
        </w:rPr>
        <w:t xml:space="preserve">mirna_arrays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The search-result payloads confirm the captured filters:</w:t>
      </w:r>
    </w:p>
    <w:p>
      <w:r>
        <w:t xml:space="preserve">- Gene Expression: Species, Attributes, Genes, Assay type, Remove cross-reactivity</w:t>
      </w:r>
    </w:p>
    <w:p>
      <w:r>
        <w:t xml:space="preserve">- SNP Genotyping: Species, Attributes, Genes, SNP type, Assay type</w:t>
      </w:r>
    </w:p>
    <w:p>
      <w:r>
        <w:t xml:space="preserve">- Copy Number: Species, Attributes, Genes, Assay location</w:t>
      </w:r>
    </w:p>
    <w:p>
      <w:r>
        <w:t xml:space="preserve">- Advanced miRNA: Species compatible, Species assay design, Attributes</w:t>
      </w:r>
    </w:p>
    <w:p>
      <w:r>
        <w:t xml:space="preserve">- Classic MicroRNA: Species, Attributes</w:t>
      </w:r>
    </w:p>
    <w:p>
      <w:r>
        <w:t xml:space="preserve">- Pri-miRNA: Species</w:t>
      </w:r>
    </w:p>
    <w:p>
      <w:r>
        <w:t xml:space="preserve">- miRNA Arrays: Instrument, Species, Array format, Type</w:t>
      </w:r>
    </w:p>
    <w:p>
      <w:pPr>
        <w:numPr>
          <w:ilvl w:val="0"/>
          <w:numId w:val="1"/>
        </w:numPr>
      </w:pPr>
      <w:r>
        <w:t xml:space="preserve">The result-row bundles confirm the captured actions and limits: compare selection, add to cart, export/email toolbar use, three-item compare limit, price by selected catalog number, selected size changing catalog number and availability, related products, details, related arrays, and citations where data exists.</w:t>
      </w:r>
    </w:p>
    <w:p>
      <w:pPr>
        <w:numPr>
          <w:ilvl w:val="0"/>
          <w:numId w:val="1"/>
        </w:numPr>
      </w:pPr>
      <w:r>
        <w:t xml:space="preserve">The product examples confirm the captured product-page sections:</w:t>
      </w:r>
    </w:p>
    <w:p>
      <w:r>
        <w:t xml:space="preserve">- Gene Expression/Microbe Detection: commerce card, assay details, updated mapping information, set membership, and related products</w:t>
      </w:r>
    </w:p>
    <w:p>
      <w:r>
        <w:t xml:space="preserve">- SNP Genotyping: SNP metadata, allele data, PubMed literature links, minor allele frequency, set membership, and related products</w:t>
      </w:r>
    </w:p>
    <w:p>
      <w:r>
        <w:t xml:space="preserve">- Copy Number: target gene details, DGV variation details, important information, Gene Ontology categories, and related products</w:t>
      </w:r>
    </w:p>
    <w:p>
      <w:r>
        <w:t xml:space="preserve">- MicroRNA assays: miRBase details, mature miRNA sequence, stem-loop details, related assay products, and reagent related products</w:t>
      </w:r>
    </w:p>
    <w:p>
      <w:r>
        <w:t xml:space="preserve">- miRNA Array catalog product: catalog price, add to cart, specifications, and FAQ content</w:t>
      </w:r>
    </w:p>
    <w:p>
      <w:pPr>
        <w:pStyle w:val="Heading1"/>
      </w:pPr>
      <w:r>
        <w:t xml:space="preserve">Section-Specific Verification</w:t>
      </w:r>
    </w:p>
    <w:p>
      <w:pPr>
        <w:numPr>
          <w:ilvl w:val="0"/>
          <w:numId w:val="1"/>
        </w:numPr>
      </w:pPr>
      <w:r>
        <w:t xml:space="preserve">Product commerce card, price, and availability rules are supported for all provided product examples.</w:t>
      </w:r>
    </w:p>
    <w:p>
      <w:pPr>
        <w:numPr>
          <w:ilvl w:val="0"/>
          <w:numId w:val="1"/>
        </w:numPr>
      </w:pPr>
      <w:r>
        <w:t xml:space="preserve">Banner behavior near the product title was not consistently present as a distinct business banner in the reviewed examples. The catalog product shows "Have Questions?" near the commerce area, while the assay pages primarily show title metadata and commerce details.</w:t>
      </w:r>
    </w:p>
    <w:p>
      <w:pPr>
        <w:numPr>
          <w:ilvl w:val="0"/>
          <w:numId w:val="1"/>
        </w:numPr>
      </w:pPr>
      <w:r>
        <w:t xml:space="preserve">Product specifications are strongly present on the catalog product page. The genome-database assay pages expose assay-specific fields rather than a catalog-style specifications table.</w:t>
      </w:r>
    </w:p>
    <w:p>
      <w:pPr>
        <w:numPr>
          <w:ilvl w:val="0"/>
          <w:numId w:val="1"/>
        </w:numPr>
      </w:pPr>
      <w:r>
        <w:t xml:space="preserve">Bioinformatics-style sections are present as Genomic Map, Target Gene Details, miRBase Details, Stem-loop Details, DGV details, and Gene Ontology Categories, depending on subtype.</w:t>
      </w:r>
    </w:p>
    <w:p>
      <w:pPr>
        <w:numPr>
          <w:ilvl w:val="0"/>
          <w:numId w:val="1"/>
        </w:numPr>
      </w:pPr>
      <w:r>
        <w:t xml:space="preserve">Target information is strongest for Copy Number products and MicroRNA products; Gene Expression/Microbe and SNP products expose target or locus information in subtype-specific forms.</w:t>
      </w:r>
    </w:p>
    <w:p>
      <w:pPr>
        <w:numPr>
          <w:ilvl w:val="0"/>
          <w:numId w:val="1"/>
        </w:numPr>
      </w:pPr>
      <w:r>
        <w:t xml:space="preserve">References are present as PubMed literature links on the SNP product example. Citation behavior is also available in search result rows when citation data exists.</w:t>
      </w:r>
    </w:p>
    <w:p>
      <w:pPr>
        <w:numPr>
          <w:ilvl w:val="0"/>
          <w:numId w:val="1"/>
        </w:numPr>
      </w:pPr>
      <w:r>
        <w:t xml:space="preserve">Questions and Answers are present on the catalog product example as Frequently Asked Questions. They were not present on the reviewed genome-database assay detail pages.</w:t>
      </w:r>
    </w:p>
    <w:p>
      <w:pPr>
        <w:pStyle w:val="Heading1"/>
      </w:pPr>
      <w:r>
        <w:t xml:space="preserve">Areas For Improvement</w:t>
      </w:r>
    </w:p>
    <w:p>
      <w:pPr>
        <w:numPr>
          <w:ilvl w:val="0"/>
          <w:numId w:val="1"/>
        </w:numPr>
      </w:pPr>
      <w:r>
        <w:t xml:space="preserve">Create a canonical TaqMan taxonomy document that explicitly maps search families, backend product type codes, UI product types, URL families, and product-detail layouts.</w:t>
      </w:r>
    </w:p>
    <w:p>
      <w:pPr>
        <w:numPr>
          <w:ilvl w:val="0"/>
          <w:numId w:val="1"/>
        </w:numPr>
      </w:pPr>
      <w:r>
        <w:t xml:space="preserve">Clarify Microbe Detection handling because it is counted as its own search family but can appear as a Gene Expression assay subtype and product-detail URL.</w:t>
      </w:r>
    </w:p>
    <w:p>
      <w:pPr>
        <w:numPr>
          <w:ilvl w:val="0"/>
          <w:numId w:val="1"/>
        </w:numPr>
      </w:pPr>
      <w:r>
        <w:t xml:space="preserve">Standardize capitalization for availability values such as "Made To Order" and "Made to order" across search payloads, result rows, and product pages.</w:t>
      </w:r>
    </w:p>
    <w:p>
      <w:pPr>
        <w:numPr>
          <w:ilvl w:val="0"/>
          <w:numId w:val="1"/>
        </w:numPr>
      </w:pPr>
      <w:r>
        <w:t xml:space="preserve">Standardize label spelling in UI assets; one deployed label appears as "SNP Genotpying" instead of "SNP Genotyping."</w:t>
      </w:r>
    </w:p>
    <w:p>
      <w:pPr>
        <w:numPr>
          <w:ilvl w:val="0"/>
          <w:numId w:val="1"/>
        </w:numPr>
      </w:pPr>
      <w:r>
        <w:t xml:space="preserve">Add automated coverage that verifies each TaqMan search family returns the expected subtype filters and result-row fields.</w:t>
      </w:r>
    </w:p>
    <w:p>
      <w:pPr>
        <w:numPr>
          <w:ilvl w:val="0"/>
          <w:numId w:val="1"/>
        </w:numPr>
      </w:pPr>
      <w:r>
        <w:t xml:space="preserve">Add automated coverage that verifies each product subtype exposes its expected detail sections: commerce, specifications or assay details, related products, target/bioinformatics information, references, and FAQ/Q&amp;A where applicable.</w:t>
      </w:r>
    </w:p>
    <w:p>
      <w:pPr>
        <w:numPr>
          <w:ilvl w:val="0"/>
          <w:numId w:val="1"/>
        </w:numPr>
      </w:pPr>
      <w:r>
        <w:t xml:space="preserve">Make Product Specifications behavior clearer for genome-database assay pages, since those pages expose assay details but not a catalog-style specifications table.</w:t>
      </w:r>
    </w:p>
    <w:p>
      <w:pPr>
        <w:numPr>
          <w:ilvl w:val="0"/>
          <w:numId w:val="1"/>
        </w:numPr>
      </w:pPr>
      <w:r>
        <w:t xml:space="preserve">Make Q&amp;A behavior clearer by documenting that FAQ/Q&amp;A is catalog-product content and is not consistently available on genome-database assay detail pages.</w:t>
      </w:r>
    </w:p>
    <w:p>
      <w:pPr>
        <w:numPr>
          <w:ilvl w:val="0"/>
          <w:numId w:val="1"/>
        </w:numPr>
      </w:pPr>
      <w:r>
        <w:t xml:space="preserve">Improve source traceability by linking each user-facing section to the owning repository/module and product-type code in internal documentation.</w:t>
      </w:r>
    </w:p>
    <w:sectPr>
      <w:pgSz w:w="12240" w:h="15840"/>
      <w:pgMar w:top="1008" w:right="1008" w:bottom="1008" w:left="100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b/>
      <w:sz w:val="24"/>
    </w:rPr>
  </w:style>
  <w:style w:type="character" w:styleId="CodeChar">
    <w:name w:val="Code Char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</file>