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Proteins &amp; Peptides Product Series Business Rules</w:t>
      </w:r>
    </w:p>
    <w:p>
      <w:r>
        <w:t xml:space="preserve"/>
      </w:r>
    </w:p>
    <w:p>
      <w:pPr>
        <w:pStyle w:val="Heading1"/>
      </w:pPr>
      <w:r>
        <w:t xml:space="preserve">Business Rules</w:t>
      </w:r>
    </w:p>
    <w:p>
      <w:r>
        <w:t xml:space="preserve"/>
      </w:r>
    </w:p>
    <w:p>
      <w:pPr>
        <w:pStyle w:val="Heading2"/>
      </w:pPr>
      <w:r>
        <w:t xml:space="preserve">Product Eligibility And Identity</w:t>
      </w:r>
    </w:p>
    <w:p>
      <w:r>
        <w:t xml:space="preserve"/>
      </w:r>
    </w:p>
    <w:p>
      <w:pPr>
        <w:pStyle w:val="ListParagraph"/>
      </w:pPr>
      <w:r>
        <w:t xml:space="preserve">1. A Proteins &amp; Peptides product page must identify the product as product category "Protein" with product subtype "Protein" and downstream subtype antibody_protein.</w:t>
      </w:r>
    </w:p>
    <w:p>
      <w:pPr>
        <w:pStyle w:val="ListParagraph"/>
      </w:pPr>
      <w:r>
        <w:t xml:space="preserve">2. Product-page modules that depend on subtype must receive the protein subtype consistently for commerce, data sheets, image gallery, references, documents, structured data, and analytics.</w:t>
      </w:r>
    </w:p>
    <w:p>
      <w:pPr>
        <w:pStyle w:val="ListParagraph"/>
      </w:pPr>
      <w:r>
        <w:t xml:space="preserve">3. The product title must be rendered from the product display name, and the selected catalog number must be rendered from the selected package.</w:t>
      </w:r>
    </w:p>
    <w:p>
      <w:pPr>
        <w:pStyle w:val="ListParagraph"/>
      </w:pPr>
      <w:r>
        <w:t xml:space="preserve">4. The selected product URL must use the Proteins &amp; Peptides PDP route under /proteins/product/....</w:t>
      </w:r>
    </w:p>
    <w:p>
      <w:pPr>
        <w:pStyle w:val="ListParagraph"/>
      </w:pPr>
      <w:r>
        <w:t xml:space="preserve">5. Product citation text must include the product display name, Thermo Fisher Scientific attribution, and catalog number.</w:t>
      </w:r>
    </w:p>
    <w:p>
      <w:pPr>
        <w:pStyle w:val="ListParagraph"/>
      </w:pPr>
      <w:r>
        <w:t xml:space="preserve">6. Structured product data must use the product name, image, brand, SKU, manufacturer, description, and non-empty product specifications.</w:t>
      </w:r>
    </w:p>
    <w:p>
      <w:pPr>
        <w:pStyle w:val="ListParagraph"/>
      </w:pPr>
      <w:r>
        <w:t xml:space="preserve">7. If no product image is available for structured product data, the configured no-image placeholder may be used.</w:t>
      </w:r>
    </w:p>
    <w:p>
      <w:pPr>
        <w:pStyle w:val="ListParagraph"/>
      </w:pPr>
      <w:r>
        <w:t xml:space="preserve">8. Product-level scholarly article structured data may be generated for protein products when scholarly-article structured data is enabled for ANTIBODY_PROTEIN.</w:t>
      </w:r>
    </w:p>
    <w:p>
      <w:pPr>
        <w:pStyle w:val="ListParagraph"/>
      </w:pPr>
      <w:r>
        <w:t xml:space="preserve">9. Structured offer data must be omitted when the product is discontinued, long-term unavailable, not orderable, lacks a final price, or lacks availability.</w:t>
      </w:r>
    </w:p>
    <w:p>
      <w:r>
        <w:t xml:space="preserve"/>
      </w:r>
    </w:p>
    <w:p>
      <w:pPr>
        <w:pStyle w:val="Heading2"/>
      </w:pPr>
      <w:r>
        <w:t xml:space="preserve">Product Title Banner</w:t>
      </w:r>
    </w:p>
    <w:p>
      <w:r>
        <w:t xml:space="preserve"/>
      </w:r>
    </w:p>
    <w:p>
      <w:pPr>
        <w:pStyle w:val="ListParagraph"/>
      </w:pPr>
      <w:r>
        <w:t xml:space="preserve">10. The product title banner region must evaluate long-term unavailable, discontinued, replacement, and product-specific banner-message states.</w:t>
      </w:r>
    </w:p>
    <w:p>
      <w:pPr>
        <w:pStyle w:val="ListParagraph"/>
      </w:pPr>
      <w:r>
        <w:t xml:space="preserve">11. Long-term unavailable products must show long-term unavailable messaging and must not expose a normal purchase path.</w:t>
      </w:r>
    </w:p>
    <w:p>
      <w:pPr>
        <w:pStyle w:val="ListParagraph"/>
      </w:pPr>
      <w:r>
        <w:t xml:space="preserve">12. Discontinued products must show discontinued messaging and must not expose a normal purchase path.</w:t>
      </w:r>
    </w:p>
    <w:p>
      <w:pPr>
        <w:pStyle w:val="ListParagraph"/>
      </w:pPr>
      <w:r>
        <w:t xml:space="preserve">13. Replacement product messaging must be shown when replacement-product data is present.</w:t>
      </w:r>
    </w:p>
    <w:p>
      <w:pPr>
        <w:pStyle w:val="ListParagraph"/>
      </w:pPr>
      <w:r>
        <w:t xml:space="preserve">14. Product-specific banner messages must be shown only when banner messages are enabled and a banner message exists for the product/package.</w:t>
      </w:r>
    </w:p>
    <w:p>
      <w:pPr>
        <w:pStyle w:val="ListParagraph"/>
      </w:pPr>
      <w:r>
        <w:t xml:space="preserve">15. Banner content must refresh when the selected catalog package changes.</w:t>
      </w:r>
    </w:p>
    <w:p>
      <w:pPr>
        <w:pStyle w:val="ListParagraph"/>
      </w:pPr>
      <w:r>
        <w:t xml:space="preserve">16. Closing a dismissible banner must not change product/orderability data.</w:t>
      </w:r>
    </w:p>
    <w:p>
      <w:r>
        <w:t xml:space="preserve"/>
      </w:r>
    </w:p>
    <w:p>
      <w:pPr>
        <w:pStyle w:val="Heading2"/>
      </w:pPr>
      <w:r>
        <w:t xml:space="preserve">Product Commerce Card, Price, And Availability</w:t>
      </w:r>
    </w:p>
    <w:p>
      <w:r>
        <w:t xml:space="preserve"/>
      </w:r>
    </w:p>
    <w:p>
      <w:pPr>
        <w:pStyle w:val="ListParagraph"/>
      </w:pPr>
      <w:r>
        <w:t xml:space="preserve">17. The commerce card must use selected package details as the source of catalog number, package size, web ID, orderability, entitlement, priced state, long-term unavailable state, discontinued state, lead-time information, and parent-SKU status.</w:t>
      </w:r>
    </w:p>
    <w:p>
      <w:pPr>
        <w:pStyle w:val="ListParagraph"/>
      </w:pPr>
      <w:r>
        <w:t xml:space="preserve">18. For a multi-package Proteins &amp; Peptides product, the commerce card must let the user select among available package sizes and must update product-size, SKU/web ID, pricing, availability, data-sheet link, and banner context after selection.</w:t>
      </w:r>
    </w:p>
    <w:p>
      <w:pPr>
        <w:pStyle w:val="ListParagraph"/>
      </w:pPr>
      <w:r>
        <w:t xml:space="preserve">19. The sample product has package options for 10 ug, 50 ug, 100 ug, 250 ug, 500 ug, and 1 mg; the selected package in the QA page is 50 ug / catalog 100-18B-50UG.</w:t>
      </w:r>
    </w:p>
    <w:p>
      <w:pPr>
        <w:pStyle w:val="ListParagraph"/>
      </w:pPr>
      <w:r>
        <w:t xml:space="preserve">20. Price lookup must call the configured pricing API only for eligible products and eligible countries.</w:t>
      </w:r>
    </w:p>
    <w:p>
      <w:pPr>
        <w:pStyle w:val="ListParagraph"/>
      </w:pPr>
      <w:r>
        <w:t xml:space="preserve">21. Pricing requests must be batched within the configured maximum SKU count.</w:t>
      </w:r>
    </w:p>
    <w:p>
      <w:pPr>
        <w:pStyle w:val="ListParagraph"/>
      </w:pPr>
      <w:r>
        <w:t xml:space="preserve">22. Pricing responses with valid final price data must populate price, user price where applicable, currency, and price visibility.</w:t>
      </w:r>
    </w:p>
    <w:p>
      <w:pPr>
        <w:pStyle w:val="ListParagraph"/>
      </w:pPr>
      <w:r>
        <w:t xml:space="preserve">23. Pricing failures or missing price data must fall back to the configured price prompt or unavailable-price message; stale prices must not remain visible.</w:t>
      </w:r>
    </w:p>
    <w:p>
      <w:pPr>
        <w:pStyle w:val="ListParagraph"/>
      </w:pPr>
      <w:r>
        <w:t xml:space="preserve">24. If a pricing response marks a SKU as not orderable, the normal Add to Cart action must be disabled or hidden for that SKU.</w:t>
      </w:r>
    </w:p>
    <w:p>
      <w:pPr>
        <w:pStyle w:val="ListParagraph"/>
      </w:pPr>
      <w:r>
        <w:t xml:space="preserve">25. If a product is long-term unavailable, the commerce card must not show a normal Add to Cart path and must show the configured contact/availability alternative where applicable.</w:t>
      </w:r>
    </w:p>
    <w:p>
      <w:pPr>
        <w:pStyle w:val="ListParagraph"/>
      </w:pPr>
      <w:r>
        <w:t xml:space="preserve">26. If a product is discontinued, the commerce card must not show a normal Add to Cart path.</w:t>
      </w:r>
    </w:p>
    <w:p>
      <w:pPr>
        <w:pStyle w:val="ListParagraph"/>
      </w:pPr>
      <w:r>
        <w:t xml:space="preserve">27. If a product uses a supplier/dealer commerce path, the commerce card must show the configured learn-where-to-buy or dealer-specific path instead of normal Add to Cart.</w:t>
      </w:r>
    </w:p>
    <w:p>
      <w:pPr>
        <w:pStyle w:val="ListParagraph"/>
      </w:pPr>
      <w:r>
        <w:t xml:space="preserve">28. Add to Cart must be available only when the selected SKU is orderable and not long-term unavailable or discontinued.</w:t>
      </w:r>
    </w:p>
    <w:p>
      <w:pPr>
        <w:pStyle w:val="ListParagraph"/>
      </w:pPr>
      <w:r>
        <w:t xml:space="preserve">29. Quantity must be constrained to the allowed commerce range; invalid quantities must trigger validation messaging and must not be submitted.</w:t>
      </w:r>
    </w:p>
    <w:p>
      <w:pPr>
        <w:pStyle w:val="ListParagraph"/>
      </w:pPr>
      <w:r>
        <w:t xml:space="preserve">30. Add to Cart payloads for protein products must use the selected web ID/SKU and product identity from the commerce model.</w:t>
      </w:r>
    </w:p>
    <w:p>
      <w:pPr>
        <w:pStyle w:val="ListParagraph"/>
      </w:pPr>
      <w:r>
        <w:t xml:space="preserve">31. Check price/availability behavior must be shown for anonymous users only when the current country and SKU are eligible for the configured pricing/availability flow.</w:t>
      </w:r>
    </w:p>
    <w:p>
      <w:pPr>
        <w:pStyle w:val="ListParagraph"/>
      </w:pPr>
      <w:r>
        <w:t xml:space="preserve">32. Logged-in price/availability behavior must use authenticated user context when available.</w:t>
      </w:r>
    </w:p>
    <w:p>
      <w:pPr>
        <w:pStyle w:val="ListParagraph"/>
      </w:pPr>
      <w:r>
        <w:t xml:space="preserve">33. Availability lookup must call the configured availability API only when availability is enabled for the current user/country and SKU.</w:t>
      </w:r>
    </w:p>
    <w:p>
      <w:pPr>
        <w:pStyle w:val="ListParagraph"/>
      </w:pPr>
      <w:r>
        <w:t xml:space="preserve">34. Availability must be recalculated when selected package or quantity changes.</w:t>
      </w:r>
    </w:p>
    <w:p>
      <w:pPr>
        <w:pStyle w:val="ListParagraph"/>
      </w:pPr>
      <w:r>
        <w:t xml:space="preserve">35. Availability status must be derived from the availability response; positive available quantity must show in-stock behavior, missing/pending data must show pending or estimated availability behavior, and unavailable/order-blocked states must not show as in stock.</w:t>
      </w:r>
    </w:p>
    <w:p>
      <w:pPr>
        <w:pStyle w:val="ListParagraph"/>
      </w:pPr>
      <w:r>
        <w:t xml:space="preserve">36. Estimated availability may be shown when estimated availability is enabled and exact availability is not returned.</w:t>
      </w:r>
    </w:p>
    <w:p>
      <w:pPr>
        <w:pStyle w:val="ListParagraph"/>
      </w:pPr>
      <w:r>
        <w:t xml:space="preserve">37. Shipping condition and lead-time values must be shown from package or availability data when available for the current region.</w:t>
      </w:r>
    </w:p>
    <w:p>
      <w:r>
        <w:t xml:space="preserve"/>
      </w:r>
    </w:p>
    <w:p>
      <w:pPr>
        <w:pStyle w:val="Heading2"/>
      </w:pPr>
      <w:r>
        <w:t xml:space="preserve">Product Details And Specifications</w:t>
      </w:r>
    </w:p>
    <w:p>
      <w:r>
        <w:t xml:space="preserve"/>
      </w:r>
    </w:p>
    <w:p>
      <w:pPr>
        <w:pStyle w:val="ListParagraph"/>
      </w:pPr>
      <w:r>
        <w:t xml:space="preserve">38. The product page must show applications, tested dilution values, and publication counts when application data is available.</w:t>
      </w:r>
    </w:p>
    <w:p>
      <w:pPr>
        <w:pStyle w:val="ListParagraph"/>
      </w:pPr>
      <w:r>
        <w:t xml:space="preserve">39. The sample product displays application rows for Control, In vitro Assay, Miscellaneous PubMed, Western blot control, ELISA standard, Binding assay, Bioactivity, Cell differentiation, Cell stimulation, Cell induction, Cell expansion, PSC/iPSC, and Cell culture.</w:t>
      </w:r>
    </w:p>
    <w:p>
      <w:pPr>
        <w:pStyle w:val="ListParagraph"/>
      </w:pPr>
      <w:r>
        <w:t xml:space="preserve">40. Application rows with publication counts must provide a references link for that application.</w:t>
      </w:r>
    </w:p>
    <w:p>
      <w:pPr>
        <w:pStyle w:val="ListParagraph"/>
      </w:pPr>
      <w:r>
        <w:t xml:space="preserve">41. Application rows without publication counts must not show a publication link.</w:t>
      </w:r>
    </w:p>
    <w:p>
      <w:pPr>
        <w:pStyle w:val="ListParagraph"/>
      </w:pPr>
      <w:r>
        <w:t xml:space="preserve">42. Product Specifications must render only product attributes that have values.</w:t>
      </w:r>
    </w:p>
    <w:p>
      <w:pPr>
        <w:pStyle w:val="ListParagraph"/>
      </w:pPr>
      <w:r>
        <w:t xml:space="preserve">43. Product Specifications for Proteins &amp; Peptides may include Species, Published Species, Expression System, Amino Acid Sequence, Molecular Weight, Class, Type, Purity, Endotoxin Concentration, Activity, Conjugate, Form, Purification, Contains, Storage Conditions, Shipping Conditions, and Amount.</w:t>
      </w:r>
    </w:p>
    <w:p>
      <w:pPr>
        <w:pStyle w:val="ListParagraph"/>
      </w:pPr>
      <w:r>
        <w:t xml:space="preserve">44. The sample product specifications include Human species, E. coli expression system, 17.2 kDa molecular weight, Recombinant class, Protein type, at least 95% purity, less than 1 EU/ug endotoxin, unconjugated format, lyophilized form, purified material, no preservative, -20C storage, ambient shipping, and 50 ug amount.</w:t>
      </w:r>
    </w:p>
    <w:p>
      <w:pPr>
        <w:pStyle w:val="ListParagraph"/>
      </w:pPr>
      <w:r>
        <w:t xml:space="preserve">45. Product Specific Information must render when product-specific descriptive content exists.</w:t>
      </w:r>
    </w:p>
    <w:p>
      <w:pPr>
        <w:pStyle w:val="ListParagraph"/>
      </w:pPr>
      <w:r>
        <w:t xml:space="preserve">46. Product-specific content for the sample product must state that recombinant Human FGF-basic is a 17.2 kDa protein consisting of 154 amino acid residues and is qualified for stem cell use.</w:t>
      </w:r>
    </w:p>
    <w:p>
      <w:pPr>
        <w:pStyle w:val="ListParagraph"/>
      </w:pPr>
      <w:r>
        <w:t xml:space="preserve">47. Product-specific storage/handling content must direct users to the lot-specific Certificate of Analysis when that instruction is present.</w:t>
      </w:r>
    </w:p>
    <w:p>
      <w:pPr>
        <w:pStyle w:val="ListParagraph"/>
      </w:pPr>
      <w:r>
        <w:t xml:space="preserve">48. Regulatory statements such as research-use-only and resale restrictions must be shown when present in product content.</w:t>
      </w:r>
    </w:p>
    <w:p>
      <w:r>
        <w:t xml:space="preserve"/>
      </w:r>
    </w:p>
    <w:p>
      <w:pPr>
        <w:pStyle w:val="Heading2"/>
      </w:pPr>
      <w:r>
        <w:t xml:space="preserve">Target Information</w:t>
      </w:r>
    </w:p>
    <w:p>
      <w:r>
        <w:t xml:space="preserve"/>
      </w:r>
    </w:p>
    <w:p>
      <w:pPr>
        <w:pStyle w:val="ListParagraph"/>
      </w:pPr>
      <w:r>
        <w:t xml:space="preserve">49. The Target Information section must render when target-information content exists for the protein product.</w:t>
      </w:r>
    </w:p>
    <w:p>
      <w:pPr>
        <w:pStyle w:val="ListParagraph"/>
      </w:pPr>
      <w:r>
        <w:t xml:space="preserve">50. The sample product renders Target Information for FGF2 / FGF-basic.</w:t>
      </w:r>
    </w:p>
    <w:p>
      <w:pPr>
        <w:pStyle w:val="ListParagraph"/>
      </w:pPr>
      <w:r>
        <w:t xml:space="preserve">51. Target Information must describe the selected target only from stored product content and must not be generated from the search keyword at runtime.</w:t>
      </w:r>
    </w:p>
    <w:p>
      <w:pPr>
        <w:pStyle w:val="ListParagraph"/>
      </w:pPr>
      <w:r>
        <w:t xml:space="preserve">52. Target Information must remain separate from Product Specifications and Product Specific Information even when it appears adjacent to those sections.</w:t>
      </w:r>
    </w:p>
    <w:p>
      <w:r>
        <w:t xml:space="preserve"/>
      </w:r>
    </w:p>
    <w:p>
      <w:pPr>
        <w:pStyle w:val="Heading2"/>
      </w:pPr>
      <w:r>
        <w:t xml:space="preserve">Bioinformatics</w:t>
      </w:r>
    </w:p>
    <w:p>
      <w:r>
        <w:t xml:space="preserve"/>
      </w:r>
    </w:p>
    <w:p>
      <w:pPr>
        <w:pStyle w:val="ListParagraph"/>
      </w:pPr>
      <w:r>
        <w:t xml:space="preserve">53. The Bioinformatics section must render when bioinformatics content exists for the product.</w:t>
      </w:r>
    </w:p>
    <w:p>
      <w:pPr>
        <w:pStyle w:val="ListParagraph"/>
      </w:pPr>
      <w:r>
        <w:t xml:space="preserve">54. Bioinformatics fields must render only non-empty values.</w:t>
      </w:r>
    </w:p>
    <w:p>
      <w:pPr>
        <w:pStyle w:val="ListParagraph"/>
      </w:pPr>
      <w:r>
        <w:t xml:space="preserve">55. The sample protein product renders Protein Aliases, Gene Aliases, UniProt ID, and Entrez Gene ID.</w:t>
      </w:r>
    </w:p>
    <w:p>
      <w:pPr>
        <w:pStyle w:val="ListParagraph"/>
      </w:pPr>
      <w:r>
        <w:t xml:space="preserve">56. Protein and gene aliases must be shown as delimited alias lists when alias data exists.</w:t>
      </w:r>
    </w:p>
    <w:p>
      <w:pPr>
        <w:pStyle w:val="ListParagraph"/>
      </w:pPr>
      <w:r>
        <w:t xml:space="preserve">57. UniProt ID and Entrez Gene ID must include the species context when that context is available.</w:t>
      </w:r>
    </w:p>
    <w:p>
      <w:pPr>
        <w:pStyle w:val="ListParagraph"/>
      </w:pPr>
      <w:r>
        <w:t xml:space="preserve">58. View more / View less behavior must be available when a bioinformatics text block exceeds the collapsed display threshold.</w:t>
      </w:r>
    </w:p>
    <w:p>
      <w:pPr>
        <w:pStyle w:val="ListParagraph"/>
      </w:pPr>
      <w:r>
        <w:t xml:space="preserve">59. Bioinformatics content must not be shown on Proteins &amp; Peptides products that do not have bioinformatics values.</w:t>
      </w:r>
    </w:p>
    <w:p>
      <w:r>
        <w:t xml:space="preserve"/>
      </w:r>
    </w:p>
    <w:p>
      <w:pPr>
        <w:pStyle w:val="Heading2"/>
      </w:pPr>
      <w:r>
        <w:t xml:space="preserve">Images And Testing Data</w:t>
      </w:r>
    </w:p>
    <w:p>
      <w:r>
        <w:t xml:space="preserve"/>
      </w:r>
    </w:p>
    <w:p>
      <w:pPr>
        <w:pStyle w:val="ListParagraph"/>
      </w:pPr>
      <w:r>
        <w:t xml:space="preserve">60. The image gallery must render tabs based on available media categories.</w:t>
      </w:r>
    </w:p>
    <w:p>
      <w:pPr>
        <w:pStyle w:val="ListParagraph"/>
      </w:pPr>
      <w:r>
        <w:t xml:space="preserve">61. The sample product renders a Testing Data tab with one image.</w:t>
      </w:r>
    </w:p>
    <w:p>
      <w:pPr>
        <w:pStyle w:val="ListParagraph"/>
      </w:pPr>
      <w:r>
        <w:t xml:space="preserve">62. Gallery filtering by application must be available when application filter data exists.</w:t>
      </w:r>
    </w:p>
    <w:p>
      <w:pPr>
        <w:pStyle w:val="ListParagraph"/>
      </w:pPr>
      <w:r>
        <w:t xml:space="preserve">63. Gallery image counts must match the media data for the product and active gallery filters.</w:t>
      </w:r>
    </w:p>
    <w:p>
      <w:pPr>
        <w:pStyle w:val="ListParagraph"/>
      </w:pPr>
      <w:r>
        <w:t xml:space="preserve">64. Full-size image behavior must be available only when full-size images are enabled.</w:t>
      </w:r>
    </w:p>
    <w:p>
      <w:pPr>
        <w:pStyle w:val="ListParagraph"/>
      </w:pPr>
      <w:r>
        <w:t xml:space="preserve">65. Published image limits must respect configured maximum image counts.</w:t>
      </w:r>
    </w:p>
    <w:p>
      <w:r>
        <w:t xml:space="preserve"/>
      </w:r>
    </w:p>
    <w:p>
      <w:pPr>
        <w:pStyle w:val="Heading2"/>
      </w:pPr>
      <w:r>
        <w:t xml:space="preserve">References And Published Figures</w:t>
      </w:r>
    </w:p>
    <w:p>
      <w:r>
        <w:t xml:space="preserve"/>
      </w:r>
    </w:p>
    <w:p>
      <w:pPr>
        <w:pStyle w:val="ListParagraph"/>
      </w:pPr>
      <w:r>
        <w:t xml:space="preserve">66. Reference count and Published Figures count must be read from product-page data.</w:t>
      </w:r>
    </w:p>
    <w:p>
      <w:pPr>
        <w:pStyle w:val="ListParagraph"/>
      </w:pPr>
      <w:r>
        <w:t xml:space="preserve">67. The sample product has referenceCount = 1694 and publishedFiguresCount = 0.</w:t>
      </w:r>
    </w:p>
    <w:p>
      <w:pPr>
        <w:pStyle w:val="ListParagraph"/>
      </w:pPr>
      <w:r>
        <w:t xml:space="preserve">68. When references exist, the References section must render reference cards instead of the zero-reference message.</w:t>
      </w:r>
    </w:p>
    <w:p>
      <w:pPr>
        <w:pStyle w:val="ListParagraph"/>
      </w:pPr>
      <w:r>
        <w:t xml:space="preserve">69. The References section must pass the Protein subtype into reference behavior for protein products.</w:t>
      </w:r>
    </w:p>
    <w:p>
      <w:pPr>
        <w:pStyle w:val="ListParagraph"/>
      </w:pPr>
      <w:r>
        <w:t xml:space="preserve">70. The References section must default to the configured display-card limit; the sample page passes a default display-card limit of 3.</w:t>
      </w:r>
    </w:p>
    <w:p>
      <w:pPr>
        <w:pStyle w:val="ListParagraph"/>
      </w:pPr>
      <w:r>
        <w:t xml:space="preserve">71. Application-specific reference links must filter users to the selected application's references.</w:t>
      </w:r>
    </w:p>
    <w:p>
      <w:pPr>
        <w:pStyle w:val="ListParagraph"/>
      </w:pPr>
      <w:r>
        <w:t xml:space="preserve">72. Reference entries may include citation title, authors, literature ID, journal, volume, page, publication date, URL, species, application name, dilution/citation status, and summary when those values exist.</w:t>
      </w:r>
    </w:p>
    <w:p>
      <w:pPr>
        <w:pStyle w:val="ListParagraph"/>
      </w:pPr>
      <w:r>
        <w:t xml:space="preserve">73. Reference filtering must be available when reference filtering is enabled.</w:t>
      </w:r>
    </w:p>
    <w:p>
      <w:pPr>
        <w:pStyle w:val="ListParagraph"/>
      </w:pPr>
      <w:r>
        <w:t xml:space="preserve">74. Published Figures must be shown only when published-figure data exists.</w:t>
      </w:r>
    </w:p>
    <w:p>
      <w:pPr>
        <w:pStyle w:val="ListParagraph"/>
      </w:pPr>
      <w:r>
        <w:t xml:space="preserve">75. ScholarlyArticle structured data may be emitted for protein references when structured scholarly articles are enabled for ANTIBODY_PROTEIN.</w:t>
      </w:r>
    </w:p>
    <w:p>
      <w:r>
        <w:t xml:space="preserve"/>
      </w:r>
    </w:p>
    <w:p>
      <w:pPr>
        <w:pStyle w:val="Heading2"/>
      </w:pPr>
      <w:r>
        <w:t xml:space="preserve">Questions And Answers</w:t>
      </w:r>
    </w:p>
    <w:p>
      <w:r>
        <w:t xml:space="preserve"/>
      </w:r>
    </w:p>
    <w:p>
      <w:pPr>
        <w:pStyle w:val="ListParagraph"/>
      </w:pPr>
      <w:r>
        <w:t xml:space="preserve">76. Questions &amp; Answers must not be shown for Proteins &amp; Peptides products unless the Q&amp;A module is enabled for ANTIBODY_PROTEIN.</w:t>
      </w:r>
    </w:p>
    <w:p>
      <w:pPr>
        <w:pStyle w:val="ListParagraph"/>
      </w:pPr>
      <w:r>
        <w:t xml:space="preserve">77. The sample product page does not render a Q&amp;A link or Q&amp;A widget because the configured Q&amp;A enabled subtype list excludes ANTIBODY_PROTEIN.</w:t>
      </w:r>
    </w:p>
    <w:p>
      <w:pPr>
        <w:pStyle w:val="ListParagraph"/>
      </w:pPr>
      <w:r>
        <w:t xml:space="preserve">78. Ask-AI or Q&amp;A companion widgets must display only when their configured feature flag is enabled for the page and the product subtype is eligible.</w:t>
      </w:r>
    </w:p>
    <w:p>
      <w:r>
        <w:t xml:space="preserve"/>
      </w:r>
    </w:p>
    <w:p>
      <w:pPr>
        <w:pStyle w:val="Heading2"/>
      </w:pPr>
      <w:r>
        <w:t xml:space="preserve">Related Products</w:t>
      </w:r>
    </w:p>
    <w:p>
      <w:r>
        <w:t xml:space="preserve"/>
      </w:r>
    </w:p>
    <w:p>
      <w:pPr>
        <w:pStyle w:val="ListParagraph"/>
      </w:pPr>
      <w:r>
        <w:t xml:space="preserve">79. Related-products behavior must not be treated as enabled for Proteins &amp; Peptides from the shared related-products subtype configuration unless ANTIBODY_PROTEIN is present in the enabled subtype list.</w:t>
      </w:r>
    </w:p>
    <w:p>
      <w:pPr>
        <w:pStyle w:val="ListParagraph"/>
      </w:pPr>
      <w:r>
        <w:t xml:space="preserve">80. A product page may expose a related-products module URL, but related-products results must not be shown unless the product subtype is eligible and the service returns related products.</w:t>
      </w:r>
    </w:p>
    <w:p>
      <w:r>
        <w:t xml:space="preserve"/>
      </w:r>
    </w:p>
    <w:p>
      <w:pPr>
        <w:pStyle w:val="Heading1"/>
      </w:pPr>
      <w:r>
        <w:t xml:space="preserve">Possible Inferences</w:t>
      </w:r>
    </w:p>
    <w:p>
      <w:r>
        <w:t xml:space="preserve"/>
      </w:r>
    </w:p>
    <w:p>
      <w:pPr>
        <w:pStyle w:val="ListParagraph"/>
      </w:pPr>
      <w:r>
        <w:t xml:space="preserve">1. The sample QA product confirms active Product Specifications, Product Specific Information, Target Information, Bioinformatics, Testing Data, References, multi-package commerce data, and Product Schema behavior for Proteins &amp; Peptides.</w:t>
      </w:r>
    </w:p>
    <w:p>
      <w:pPr>
        <w:pStyle w:val="ListParagraph"/>
      </w:pPr>
      <w:r>
        <w:t xml:space="preserve">2. Price and availability values are runtime commerce-service responses. The downloaded QA page confirms package/orderability flags and configured API behavior, not a stable live price or availability promise.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sz w:val="24"/>
    </w:rPr>
  </w:style>
  <w:style w:type="paragraph" w:styleId="ListParagraph">
    <w:name w:val="List Paragraph"/>
    <w:basedOn w:val="Normal"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  <dcterms:created xsi:type="dcterms:W3CDTF">2026-05-11T09:26:55Z</dcterms:created>
  <dcterms:modified xsi:type="dcterms:W3CDTF">2026-05-11T09:26:55Z</dcterms:modified>
</cp:coreProperties>
</file>