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Secondary Antibody Search And Product Series Business Rules</w:t>
      </w:r>
    </w:p>
    <w:p>
      <w:r>
        <w:t/>
      </w:r>
    </w:p>
    <w:p>
      <w:pPr>
        <w:pStyle w:val="Heading2"/>
      </w:pPr>
      <w:r>
        <w:t>Business Rules</w:t>
      </w:r>
    </w:p>
    <w:p>
      <w:r>
        <w:t/>
      </w:r>
    </w:p>
    <w:p>
      <w:pPr>
        <w:pStyle w:val="Heading3"/>
      </w:pPr>
      <w:r>
        <w:t>Search Entry And Product Eligibility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Secondary antibody search results are limited to products whose product subtype is Secondary Antibody.</w:t>
      </w:r>
    </w:p>
    <w:p>
      <w:pPr>
        <w:pStyle w:val="ListParagraph"/>
        <w:ind w:left="360" w:hanging="180"/>
      </w:pPr>
      <w:r>
        <w:t xml:space="preserve">• </w:t>
      </w:r>
      <w:r>
        <w:t>Secondary antibody search uses the secondary antibody search route.</w:t>
      </w:r>
    </w:p>
    <w:p>
      <w:pPr>
        <w:pStyle w:val="ListParagraph"/>
        <w:ind w:left="360" w:hanging="180"/>
      </w:pPr>
      <w:r>
        <w:t xml:space="preserve">• </w:t>
      </w:r>
      <w:r>
        <w:t>Secondary antibody search uses the secondary antibody Solr collection.</w:t>
      </w:r>
    </w:p>
    <w:p>
      <w:pPr>
        <w:pStyle w:val="ListParagraph"/>
        <w:ind w:left="360" w:hanging="180"/>
      </w:pPr>
      <w:r>
        <w:t xml:space="preserve">• </w:t>
      </w:r>
      <w:r>
        <w:t>Secondary antibody search applies product search status rules before results are returned.</w:t>
      </w:r>
    </w:p>
    <w:p>
      <w:pPr>
        <w:pStyle w:val="ListParagraph"/>
        <w:ind w:left="360" w:hanging="180"/>
      </w:pPr>
      <w:r>
        <w:t xml:space="preserve">• </w:t>
      </w:r>
      <w:r>
        <w:t>Secondary antibody search applies entitlement rules before results are returned.</w:t>
      </w:r>
    </w:p>
    <w:p>
      <w:pPr>
        <w:pStyle w:val="ListParagraph"/>
        <w:ind w:left="360" w:hanging="180"/>
      </w:pPr>
      <w:r>
        <w:t xml:space="preserve">• </w:t>
      </w:r>
      <w:r>
        <w:t>Secondary antibody search uses the request keyword, selected filters, country, page offset, product type, product subtype, search type, sort selection, and site-search context when building the result set.</w:t>
      </w:r>
    </w:p>
    <w:p>
      <w:pPr>
        <w:pStyle w:val="ListParagraph"/>
        <w:ind w:left="360" w:hanging="180"/>
      </w:pPr>
      <w:r>
        <w:t xml:space="preserve">• </w:t>
      </w:r>
      <w:r>
        <w:t>Secondary antibody search has spell-check behavior enabled for the secondary antibody collection.</w:t>
      </w:r>
    </w:p>
    <w:p>
      <w:pPr>
        <w:pStyle w:val="ListParagraph"/>
        <w:ind w:left="360" w:hanging="180"/>
      </w:pPr>
      <w:r>
        <w:t xml:space="preserve">• </w:t>
      </w:r>
      <w:r>
        <w:t>Secondary antibody search is eligible for alternate-search behavior across Primary Antibody, Isotype Controls, Proteins and Peptides, and ELISA products.</w:t>
      </w:r>
    </w:p>
    <w:p>
      <w:pPr>
        <w:pStyle w:val="ListParagraph"/>
        <w:ind w:left="360" w:hanging="180"/>
      </w:pPr>
      <w:r>
        <w:t xml:space="preserve">• </w:t>
      </w:r>
      <w:r>
        <w:t>Secondary antibody search uses the display title Secondary Antibodies.</w:t>
      </w:r>
    </w:p>
    <w:p>
      <w:pPr>
        <w:pStyle w:val="ListParagraph"/>
        <w:ind w:left="360" w:hanging="180"/>
      </w:pPr>
      <w:r>
        <w:t xml:space="preserve">• </w:t>
      </w:r>
      <w:r>
        <w:t>Secondary antibody search is configured as a tab-enabled antibody subtype.</w:t>
      </w:r>
    </w:p>
    <w:p>
      <w:pPr>
        <w:pStyle w:val="ListParagraph"/>
        <w:ind w:left="360" w:hanging="180"/>
      </w:pPr>
      <w:r>
        <w:t xml:space="preserve">• </w:t>
      </w:r>
      <w:r>
        <w:t>Secondary antibody search is configured as a BID product subtype.</w:t>
      </w:r>
    </w:p>
    <w:p>
      <w:r>
        <w:t/>
      </w:r>
    </w:p>
    <w:p>
      <w:pPr>
        <w:pStyle w:val="Heading3"/>
      </w:pPr>
      <w:r>
        <w:t>Search Filters And Result Counts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Secondary antibody search displays only filters configured for the Secondary Antibody subtype.</w:t>
      </w:r>
    </w:p>
    <w:p>
      <w:pPr>
        <w:pStyle w:val="ListParagraph"/>
        <w:ind w:left="360" w:hanging="180"/>
      </w:pPr>
      <w:r>
        <w:t xml:space="preserve">• </w:t>
      </w:r>
      <w:r>
        <w:t>When exact facet search is enabled and a field facet is requested, only the matching requested facet is returned.</w:t>
      </w:r>
    </w:p>
    <w:p>
      <w:pPr>
        <w:pStyle w:val="ListParagraph"/>
        <w:ind w:left="360" w:hanging="180"/>
      </w:pPr>
      <w:r>
        <w:t xml:space="preserve">• </w:t>
      </w:r>
      <w:r>
        <w:t>When exact facet search is not active, all configured secondary antibody facets are returned.</w:t>
      </w:r>
    </w:p>
    <w:p>
      <w:pPr>
        <w:pStyle w:val="ListParagraph"/>
        <w:ind w:left="360" w:hanging="180"/>
      </w:pPr>
      <w:r>
        <w:t xml:space="preserve">• </w:t>
      </w:r>
      <w:r>
        <w:t>Facet results are limited by the configured default facet maximum.</w:t>
      </w:r>
    </w:p>
    <w:p>
      <w:pPr>
        <w:pStyle w:val="ListParagraph"/>
        <w:ind w:left="360" w:hanging="180"/>
      </w:pPr>
      <w:r>
        <w:t xml:space="preserve">• </w:t>
      </w:r>
      <w:r>
        <w:t>Secondary antibody search result count is configured as 25 results per page for the secondary antibody subtype.</w:t>
      </w:r>
    </w:p>
    <w:p>
      <w:pPr>
        <w:pStyle w:val="ListParagraph"/>
        <w:ind w:left="360" w:hanging="180"/>
      </w:pPr>
      <w:r>
        <w:t xml:space="preserve">• </w:t>
      </w:r>
      <w:r>
        <w:t>Secondary antibody search keyword length is constrained by the configured maximum keyword length of 250 characters.</w:t>
      </w:r>
    </w:p>
    <w:p>
      <w:pPr>
        <w:pStyle w:val="ListParagraph"/>
        <w:ind w:left="360" w:hanging="180"/>
      </w:pPr>
      <w:r>
        <w:t xml:space="preserve">• </w:t>
      </w:r>
      <w:r>
        <w:t>Search filters can be included from selected navigators and preselected navigators.</w:t>
      </w:r>
    </w:p>
    <w:p>
      <w:pPr>
        <w:pStyle w:val="ListParagraph"/>
        <w:ind w:left="360" w:hanging="180"/>
      </w:pPr>
      <w:r>
        <w:t xml:space="preserve">• </w:t>
      </w:r>
      <w:r>
        <w:t>When a filter search returns no products, the page can still return filters and total-hit information for the filtered state.</w:t>
      </w:r>
    </w:p>
    <w:p>
      <w:pPr>
        <w:pStyle w:val="ListParagraph"/>
        <w:ind w:left="360" w:hanging="180"/>
      </w:pPr>
      <w:r>
        <w:t xml:space="preserve">• </w:t>
      </w:r>
      <w:r>
        <w:t>If a user keeps filters and the filtered result set has no products, the system checks whether clearing filters would produce results and marks that condition for the search experience.</w:t>
      </w:r>
    </w:p>
    <w:p>
      <w:pPr>
        <w:pStyle w:val="ListParagraph"/>
        <w:ind w:left="360" w:hanging="180"/>
      </w:pPr>
      <w:r>
        <w:t xml:space="preserve">• </w:t>
      </w:r>
      <w:r>
        <w:t>Filter-search requests can request filter data for one source field and source value.</w:t>
      </w:r>
    </w:p>
    <w:p>
      <w:pPr>
        <w:pStyle w:val="ListParagraph"/>
        <w:ind w:left="360" w:hanging="180"/>
      </w:pPr>
      <w:r>
        <w:t xml:space="preserve">• </w:t>
      </w:r>
      <w:r>
        <w:t>A site-search filter is added only when a site-search filter value is present.</w:t>
      </w:r>
    </w:p>
    <w:p>
      <w:r>
        <w:t/>
      </w:r>
    </w:p>
    <w:p>
      <w:pPr>
        <w:pStyle w:val="Heading3"/>
      </w:pPr>
      <w:r>
        <w:t>Search Sorting And Requery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Secondary antibody search uses the secondary antibody sort configuration.</w:t>
      </w:r>
    </w:p>
    <w:p>
      <w:pPr>
        <w:pStyle w:val="ListParagraph"/>
        <w:ind w:left="360" w:hanging="180"/>
      </w:pPr>
      <w:r>
        <w:t xml:space="preserve">• </w:t>
      </w:r>
      <w:r>
        <w:t>The search sort value and sort order are converted into a secondary-antibody sort option.</w:t>
      </w:r>
    </w:p>
    <w:p>
      <w:pPr>
        <w:pStyle w:val="ListParagraph"/>
        <w:ind w:left="360" w:hanging="180"/>
      </w:pPr>
      <w:r>
        <w:t xml:space="preserve">• </w:t>
      </w:r>
      <w:r>
        <w:t>If secondary antibody requery is enabled, the first search uses keyword matching and the follow-up requery uses the stricter keyword matching path.</w:t>
      </w:r>
    </w:p>
    <w:p>
      <w:pPr>
        <w:pStyle w:val="ListParagraph"/>
        <w:ind w:left="360" w:hanging="180"/>
      </w:pPr>
      <w:r>
        <w:t xml:space="preserve">• </w:t>
      </w:r>
      <w:r>
        <w:t>If secondary antibody requery is not enabled, the search uses the normal keyword matching path.</w:t>
      </w:r>
    </w:p>
    <w:p>
      <w:pPr>
        <w:pStyle w:val="ListParagraph"/>
        <w:ind w:left="360" w:hanging="180"/>
      </w:pPr>
      <w:r>
        <w:t xml:space="preserve">• </w:t>
      </w:r>
      <w:r>
        <w:t>When the TPP end-cap feature is enabled and the selected sort is not Relevance, a TPP ascending sort is added before the selected sort.</w:t>
      </w:r>
    </w:p>
    <w:p>
      <w:pPr>
        <w:pStyle w:val="ListParagraph"/>
        <w:ind w:left="360" w:hanging="180"/>
      </w:pPr>
      <w:r>
        <w:t xml:space="preserve">• </w:t>
      </w:r>
      <w:r>
        <w:t>Promotion fields are included in the search query only when the promotion-filter feature is enabled.</w:t>
      </w:r>
    </w:p>
    <w:p>
      <w:pPr>
        <w:pStyle w:val="ListParagraph"/>
        <w:ind w:left="360" w:hanging="180"/>
      </w:pPr>
      <w:r>
        <w:t xml:space="preserve">• </w:t>
      </w:r>
      <w:r>
        <w:t>Promotion filter results are added only when the search has product results, the request is not site search, and promotion filtering is enabled.</w:t>
      </w:r>
    </w:p>
    <w:p>
      <w:r>
        <w:t/>
      </w:r>
    </w:p>
    <w:p>
      <w:pPr>
        <w:pStyle w:val="Heading3"/>
      </w:pPr>
      <w:r>
        <w:t>Search Results Page Display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The secondary antibody result table displays Product, Images, Host, Target Species, Conjugate, Application, Price, and Compare columns.</w:t>
      </w:r>
    </w:p>
    <w:p>
      <w:pPr>
        <w:pStyle w:val="ListParagraph"/>
        <w:ind w:left="360" w:hanging="180"/>
      </w:pPr>
      <w:r>
        <w:t xml:space="preserve">• </w:t>
      </w:r>
      <w:r>
        <w:t>The price column header uses login state, country, language, and total result count to determine the displayed price heading.</w:t>
      </w:r>
    </w:p>
    <w:p>
      <w:pPr>
        <w:pStyle w:val="ListParagraph"/>
        <w:ind w:left="360" w:hanging="180"/>
      </w:pPr>
      <w:r>
        <w:t xml:space="preserve">• </w:t>
      </w:r>
      <w:r>
        <w:t>Product rows display brand, product link, image thumbnail, host, target species, conjugate, application abbreviations, price, catalog number, package size, and compare selection.</w:t>
      </w:r>
    </w:p>
    <w:p>
      <w:pPr>
        <w:pStyle w:val="ListParagraph"/>
        <w:ind w:left="360" w:hanging="180"/>
      </w:pPr>
      <w:r>
        <w:t xml:space="preserve">• </w:t>
      </w:r>
      <w:r>
        <w:t>Secondary antibody rows display the product catalog number as the SKU.</w:t>
      </w:r>
    </w:p>
    <w:p>
      <w:pPr>
        <w:pStyle w:val="ListParagraph"/>
        <w:ind w:left="360" w:hanging="180"/>
      </w:pPr>
      <w:r>
        <w:t xml:space="preserve">• </w:t>
      </w:r>
      <w:r>
        <w:t>If a result has multiple packages, the row displays a package-size selector.</w:t>
      </w:r>
    </w:p>
    <w:p>
      <w:pPr>
        <w:pStyle w:val="ListParagraph"/>
        <w:ind w:left="360" w:hanging="180"/>
      </w:pPr>
      <w:r>
        <w:t xml:space="preserve">• </w:t>
      </w:r>
      <w:r>
        <w:t>If a result has one package, the row displays the product size directly.</w:t>
      </w:r>
    </w:p>
    <w:p>
      <w:pPr>
        <w:pStyle w:val="ListParagraph"/>
        <w:ind w:left="360" w:hanging="180"/>
      </w:pPr>
      <w:r>
        <w:t xml:space="preserve">• </w:t>
      </w:r>
      <w:r>
        <w:t>Changing package size in a search result uses the selected package data to update the result context.</w:t>
      </w:r>
    </w:p>
    <w:p>
      <w:pPr>
        <w:pStyle w:val="ListParagraph"/>
        <w:ind w:left="360" w:hanging="180"/>
      </w:pPr>
      <w:r>
        <w:t xml:space="preserve">• </w:t>
      </w:r>
      <w:r>
        <w:t>Product links route to the product URL for the selected result.</w:t>
      </w:r>
    </w:p>
    <w:p>
      <w:pPr>
        <w:pStyle w:val="ListParagraph"/>
        <w:ind w:left="360" w:hanging="180"/>
      </w:pPr>
      <w:r>
        <w:t xml:space="preserve">• </w:t>
      </w:r>
      <w:r>
        <w:t>The result page fetches antibody prices after the page loads.</w:t>
      </w:r>
    </w:p>
    <w:p>
      <w:pPr>
        <w:pStyle w:val="ListParagraph"/>
        <w:ind w:left="360" w:hanging="180"/>
      </w:pPr>
      <w:r>
        <w:t xml:space="preserve">• </w:t>
      </w:r>
      <w:r>
        <w:t>Price lookup on the result page is performed for antibody products in the visible result container.</w:t>
      </w:r>
    </w:p>
    <w:p>
      <w:pPr>
        <w:pStyle w:val="ListParagraph"/>
        <w:ind w:left="360" w:hanging="180"/>
      </w:pPr>
      <w:r>
        <w:t xml:space="preserve">• </w:t>
      </w:r>
      <w:r>
        <w:t>The image count available to client-side result behavior is set from the total image count returned by search.</w:t>
      </w:r>
    </w:p>
    <w:p>
      <w:r>
        <w:t/>
      </w:r>
    </w:p>
    <w:p>
      <w:pPr>
        <w:pStyle w:val="Heading3"/>
      </w:pPr>
      <w:r>
        <w:t>Search Badges, References, And Image Drawer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The Previously Purchased badge is rendered only for signed-in users.</w:t>
      </w:r>
    </w:p>
    <w:p>
      <w:pPr>
        <w:pStyle w:val="ListParagraph"/>
        <w:ind w:left="360" w:hanging="180"/>
      </w:pPr>
      <w:r>
        <w:t xml:space="preserve">• </w:t>
      </w:r>
      <w:r>
        <w:t>The green badge is rendered only when green-badge display is enabled and the product is marked with a green badge.</w:t>
      </w:r>
    </w:p>
    <w:p>
      <w:pPr>
        <w:pStyle w:val="ListParagraph"/>
        <w:ind w:left="360" w:hanging="180"/>
      </w:pPr>
      <w:r>
        <w:t xml:space="preserve">• </w:t>
      </w:r>
      <w:r>
        <w:t>Advanced Verification is shown only when the product is target verified and the advanced-verification tag is enabled.</w:t>
      </w:r>
    </w:p>
    <w:p>
      <w:pPr>
        <w:pStyle w:val="ListParagraph"/>
        <w:ind w:left="360" w:hanging="180"/>
      </w:pPr>
      <w:r>
        <w:t xml:space="preserve">• </w:t>
      </w:r>
      <w:r>
        <w:t>The Advanced Verification link opens the image gallery for the product using the Advanced Verification application context.</w:t>
      </w:r>
    </w:p>
    <w:p>
      <w:pPr>
        <w:pStyle w:val="ListParagraph"/>
        <w:ind w:left="360" w:hanging="180"/>
      </w:pPr>
      <w:r>
        <w:t xml:space="preserve">• </w:t>
      </w:r>
      <w:r>
        <w:t>References are shown in the result row only when the product reference count is greater than zero and reference-count display is enabled.</w:t>
      </w:r>
    </w:p>
    <w:p>
      <w:pPr>
        <w:pStyle w:val="ListParagraph"/>
        <w:ind w:left="360" w:hanging="180"/>
      </w:pPr>
      <w:r>
        <w:t xml:space="preserve">• </w:t>
      </w:r>
      <w:r>
        <w:t>The reference label is singular for one reference and plural for more than one reference.</w:t>
      </w:r>
    </w:p>
    <w:p>
      <w:pPr>
        <w:pStyle w:val="ListParagraph"/>
        <w:ind w:left="360" w:hanging="180"/>
      </w:pPr>
      <w:r>
        <w:t xml:space="preserve">• </w:t>
      </w:r>
      <w:r>
        <w:t>The image thumbnail opens the product image gallery when image content is available.</w:t>
      </w:r>
    </w:p>
    <w:p>
      <w:pPr>
        <w:pStyle w:val="ListParagraph"/>
        <w:ind w:left="360" w:hanging="180"/>
      </w:pPr>
      <w:r>
        <w:t xml:space="preserve">• </w:t>
      </w:r>
      <w:r>
        <w:t>The image drawer receives product subtype, product type, product ID, product link, product image ID, selected tab, gallery type, and application context.</w:t>
      </w:r>
    </w:p>
    <w:p>
      <w:r>
        <w:t/>
      </w:r>
    </w:p>
    <w:p>
      <w:pPr>
        <w:pStyle w:val="Heading3"/>
      </w:pPr>
      <w:r>
        <w:t>Compare Behavior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Secondary antibody results include compare selection.</w:t>
      </w:r>
    </w:p>
    <w:p>
      <w:pPr>
        <w:pStyle w:val="ListParagraph"/>
        <w:ind w:left="360" w:hanging="180"/>
      </w:pPr>
      <w:r>
        <w:t xml:space="preserve">• </w:t>
      </w:r>
      <w:r>
        <w:t>The compare panel module is available on antibody search results when the compare module is loaded.</w:t>
      </w:r>
    </w:p>
    <w:p>
      <w:pPr>
        <w:pStyle w:val="ListParagraph"/>
        <w:ind w:left="360" w:hanging="180"/>
      </w:pPr>
      <w:r>
        <w:t xml:space="preserve">• </w:t>
      </w:r>
      <w:r>
        <w:t>Compare checkboxes are rendered for both desktop and mobile result layouts.</w:t>
      </w:r>
    </w:p>
    <w:p>
      <w:pPr>
        <w:pStyle w:val="ListParagraph"/>
        <w:ind w:left="360" w:hanging="180"/>
      </w:pPr>
      <w:r>
        <w:t xml:space="preserve">• </w:t>
      </w:r>
      <w:r>
        <w:t>Compare selections use the product ID as the comparison identifier.</w:t>
      </w:r>
    </w:p>
    <w:p>
      <w:pPr>
        <w:pStyle w:val="ListParagraph"/>
        <w:ind w:left="360" w:hanging="180"/>
      </w:pPr>
      <w:r>
        <w:t xml:space="preserve">• </w:t>
      </w:r>
      <w:r>
        <w:t>Applying a filter or loading a new result context should be tested to confirm whether compare selections are retained or cleared in the current active bundle.</w:t>
      </w:r>
    </w:p>
    <w:p>
      <w:r>
        <w:t/>
      </w:r>
    </w:p>
    <w:p>
      <w:pPr>
        <w:pStyle w:val="Heading3"/>
      </w:pPr>
      <w:r>
        <w:t>Zero Results And Alternate Results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When search returns no products for a non-filter search and spell check is enabled, the system requests spell-check suggestions unless results would appear after clearing filters.</w:t>
      </w:r>
    </w:p>
    <w:p>
      <w:pPr>
        <w:pStyle w:val="ListParagraph"/>
        <w:ind w:left="360" w:hanging="180"/>
      </w:pPr>
      <w:r>
        <w:t xml:space="preserve">• </w:t>
      </w:r>
      <w:r>
        <w:t>When search returns no products for a non-filter search and alternate search is enabled, alternate results are requested.</w:t>
      </w:r>
    </w:p>
    <w:p>
      <w:pPr>
        <w:pStyle w:val="ListParagraph"/>
        <w:ind w:left="360" w:hanging="180"/>
      </w:pPr>
      <w:r>
        <w:t xml:space="preserve">• </w:t>
      </w:r>
      <w:r>
        <w:t>When no results are returned and the request is not an active product row display state, the zero-results experience is rendered.</w:t>
      </w:r>
    </w:p>
    <w:p>
      <w:pPr>
        <w:pStyle w:val="ListParagraph"/>
        <w:ind w:left="360" w:hanging="180"/>
      </w:pPr>
      <w:r>
        <w:t xml:space="preserve">• </w:t>
      </w:r>
      <w:r>
        <w:t>Search results are hidden when the active tab is Images or Antigens.</w:t>
      </w:r>
    </w:p>
    <w:p>
      <w:pPr>
        <w:pStyle w:val="ListParagraph"/>
        <w:ind w:left="360" w:hanging="180"/>
      </w:pPr>
      <w:r>
        <w:t xml:space="preserve">• </w:t>
      </w:r>
      <w:r>
        <w:t>Antigen search is rendered only when antigen search is enabled and the active tab is Antigens.</w:t>
      </w:r>
    </w:p>
    <w:p>
      <w:pPr>
        <w:pStyle w:val="ListParagraph"/>
        <w:ind w:left="360" w:hanging="180"/>
      </w:pPr>
      <w:r>
        <w:t xml:space="preserve">• </w:t>
      </w:r>
      <w:r>
        <w:t>Image search is rendered through the antibody image-search component.</w:t>
      </w:r>
    </w:p>
    <w:p>
      <w:r>
        <w:t/>
      </w:r>
    </w:p>
    <w:p>
      <w:pPr>
        <w:pStyle w:val="Heading3"/>
      </w:pPr>
      <w:r>
        <w:t>Product Detail Eligibility And Routing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Secondary antibody product detail pages are identified by the Secondary Antibody product subtype.</w:t>
      </w:r>
    </w:p>
    <w:p>
      <w:pPr>
        <w:pStyle w:val="ListParagraph"/>
        <w:ind w:left="360" w:hanging="180"/>
      </w:pPr>
      <w:r>
        <w:t xml:space="preserve">• </w:t>
      </w:r>
      <w:r>
        <w:t>Secondary antibody PDP links use the secondary subtype value.</w:t>
      </w:r>
    </w:p>
    <w:p>
      <w:pPr>
        <w:pStyle w:val="ListParagraph"/>
        <w:ind w:left="360" w:hanging="180"/>
      </w:pPr>
      <w:r>
        <w:t xml:space="preserve">• </w:t>
      </w:r>
      <w:r>
        <w:t xml:space="preserve">Secondary antibody PDP search links use the </w:t>
      </w:r>
      <w:r>
        <w:rPr>
          <w:rStyle w:val="Code"/>
          <w:rFonts w:ascii="Courier New" w:hAnsi="Courier New"/>
        </w:rPr>
        <w:t>/antibody/secondary</w:t>
      </w:r>
      <w:r>
        <w:t xml:space="preserve"> path.</w:t>
      </w:r>
    </w:p>
    <w:p>
      <w:pPr>
        <w:pStyle w:val="ListParagraph"/>
        <w:ind w:left="360" w:hanging="180"/>
      </w:pPr>
      <w:r>
        <w:t xml:space="preserve">• </w:t>
      </w:r>
      <w:r>
        <w:t xml:space="preserve">Secondary antibody product subtype links route to </w:t>
      </w:r>
      <w:r>
        <w:rPr>
          <w:rStyle w:val="Code"/>
          <w:rFonts w:ascii="Courier New" w:hAnsi="Courier New"/>
        </w:rPr>
        <w:t>/antibody/secondary</w:t>
      </w:r>
      <w:r>
        <w:t>.</w:t>
      </w:r>
    </w:p>
    <w:p>
      <w:pPr>
        <w:pStyle w:val="ListParagraph"/>
        <w:ind w:left="360" w:hanging="180"/>
      </w:pPr>
      <w:r>
        <w:t xml:space="preserve">• </w:t>
      </w:r>
      <w:r>
        <w:t>The PDP canonical path uses the product subtype, product details, and package details.</w:t>
      </w:r>
    </w:p>
    <w:p>
      <w:pPr>
        <w:pStyle w:val="ListParagraph"/>
        <w:ind w:left="360" w:hanging="180"/>
      </w:pPr>
      <w:r>
        <w:t xml:space="preserve">• </w:t>
      </w:r>
      <w:r>
        <w:t>For China and Chinese-language secondary antibody PDPs, page metadata title and description can be overridden from the metadata cache when product metadata exists.</w:t>
      </w:r>
    </w:p>
    <w:p>
      <w:pPr>
        <w:pStyle w:val="ListParagraph"/>
        <w:ind w:left="360" w:hanging="180"/>
      </w:pPr>
      <w:r>
        <w:t xml:space="preserve">• </w:t>
      </w:r>
      <w:r>
        <w:t>If no China/Chinese metadata override exists, the PDP uses the normal product title and description rules.</w:t>
      </w:r>
    </w:p>
    <w:p>
      <w:r>
        <w:t/>
      </w:r>
    </w:p>
    <w:p>
      <w:pPr>
        <w:pStyle w:val="Heading3"/>
      </w:pPr>
      <w:r>
        <w:t>Product Header And Banner Section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The PDP header displays the product brand unless the current site-region rules hide it.</w:t>
      </w:r>
    </w:p>
    <w:p>
      <w:pPr>
        <w:pStyle w:val="ListParagraph"/>
        <w:ind w:left="360" w:hanging="180"/>
      </w:pPr>
      <w:r>
        <w:t xml:space="preserve">• </w:t>
      </w:r>
      <w:r>
        <w:t>For third-party antibody products, the PDP displays an about-brand message explaining that Thermo Fisher Scientific has partnered with select antibody manufacturers.</w:t>
      </w:r>
    </w:p>
    <w:p>
      <w:pPr>
        <w:pStyle w:val="ListParagraph"/>
        <w:ind w:left="360" w:hanging="180"/>
      </w:pPr>
      <w:r>
        <w:t xml:space="preserve">• </w:t>
      </w:r>
      <w:r>
        <w:t>The PDP title uses the product web name.</w:t>
      </w:r>
    </w:p>
    <w:p>
      <w:pPr>
        <w:pStyle w:val="ListParagraph"/>
        <w:ind w:left="360" w:hanging="180"/>
      </w:pPr>
      <w:r>
        <w:t xml:space="preserve">• </w:t>
      </w:r>
      <w:r>
        <w:t>The PDP displays the catalog number for the selected product.</w:t>
      </w:r>
    </w:p>
    <w:p>
      <w:pPr>
        <w:pStyle w:val="ListParagraph"/>
        <w:ind w:left="360" w:hanging="180"/>
      </w:pPr>
      <w:r>
        <w:t xml:space="preserve">• </w:t>
      </w:r>
      <w:r>
        <w:t>The PDP displays a copy control for the product name in the current hero layout.</w:t>
      </w:r>
    </w:p>
    <w:p>
      <w:pPr>
        <w:pStyle w:val="ListParagraph"/>
        <w:ind w:left="360" w:hanging="180"/>
      </w:pPr>
      <w:r>
        <w:t xml:space="preserve">• </w:t>
      </w:r>
      <w:r>
        <w:t>Advanced Verification is shown in the PDP hero only when first target-verification data exists.</w:t>
      </w:r>
    </w:p>
    <w:p>
      <w:pPr>
        <w:pStyle w:val="ListParagraph"/>
        <w:ind w:left="360" w:hanging="180"/>
      </w:pPr>
      <w:r>
        <w:t xml:space="preserve">• </w:t>
      </w:r>
      <w:r>
        <w:t>The Advanced Verification hero link routes to the antibody validation page for primary and secondary antibodies.</w:t>
      </w:r>
    </w:p>
    <w:p>
      <w:pPr>
        <w:pStyle w:val="ListParagraph"/>
        <w:ind w:left="360" w:hanging="180"/>
      </w:pPr>
      <w:r>
        <w:t xml:space="preserve">• </w:t>
      </w:r>
      <w:r>
        <w:t>Published Figures are shown in the PDP hero only when the published-figure count is greater than zero.</w:t>
      </w:r>
    </w:p>
    <w:p>
      <w:pPr>
        <w:pStyle w:val="ListParagraph"/>
        <w:ind w:left="360" w:hanging="180"/>
      </w:pPr>
      <w:r>
        <w:t xml:space="preserve">• </w:t>
      </w:r>
      <w:r>
        <w:t>References are shown in the PDP hero only when citation display is not active and the reference count is greater than zero.</w:t>
      </w:r>
    </w:p>
    <w:p>
      <w:pPr>
        <w:pStyle w:val="ListParagraph"/>
        <w:ind w:left="360" w:hanging="180"/>
      </w:pPr>
      <w:r>
        <w:t xml:space="preserve">• </w:t>
      </w:r>
      <w:r>
        <w:t>The PDP displays a "view other antibodies" link only when the protein-family page count exists and is greater than one.</w:t>
      </w:r>
    </w:p>
    <w:p>
      <w:pPr>
        <w:pStyle w:val="ListParagraph"/>
        <w:ind w:left="360" w:hanging="180"/>
      </w:pPr>
      <w:r>
        <w:t xml:space="preserve">• </w:t>
      </w:r>
      <w:r>
        <w:t>The "view other antibodies" link for secondary antibodies routes to the secondary-antibody target page.</w:t>
      </w:r>
    </w:p>
    <w:p>
      <w:pPr>
        <w:pStyle w:val="ListParagraph"/>
        <w:ind w:left="360" w:hanging="180"/>
      </w:pPr>
      <w:r>
        <w:t xml:space="preserve">• </w:t>
      </w:r>
      <w:r>
        <w:t>Promotion messaging in the header is shown only when promotion results exist for the product order context.</w:t>
      </w:r>
    </w:p>
    <w:p>
      <w:pPr>
        <w:pStyle w:val="ListParagraph"/>
        <w:ind w:left="360" w:hanging="180"/>
      </w:pPr>
      <w:r>
        <w:t xml:space="preserve">• </w:t>
      </w:r>
      <w:r>
        <w:t>Promotion messages include promotion code when the promotion is not a quote-free offer.</w:t>
      </w:r>
    </w:p>
    <w:p>
      <w:pPr>
        <w:pStyle w:val="ListParagraph"/>
        <w:ind w:left="360" w:hanging="180"/>
      </w:pPr>
      <w:r>
        <w:t xml:space="preserve">• </w:t>
      </w:r>
      <w:r>
        <w:t>Promotion messages include a Learn more link only when a promotion link is present.</w:t>
      </w:r>
    </w:p>
    <w:p>
      <w:r>
        <w:t/>
      </w:r>
    </w:p>
    <w:p>
      <w:pPr>
        <w:pStyle w:val="Heading3"/>
      </w:pPr>
      <w:r>
        <w:t>Commerce Card, Price, And Availability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The commerce card displays the selected catalog number.</w:t>
      </w:r>
    </w:p>
    <w:p>
      <w:pPr>
        <w:pStyle w:val="ListParagraph"/>
        <w:ind w:left="360" w:hanging="180"/>
      </w:pPr>
      <w:r>
        <w:t xml:space="preserve">• </w:t>
      </w:r>
      <w:r>
        <w:t>Package selection is built from available package details.</w:t>
      </w:r>
    </w:p>
    <w:p>
      <w:pPr>
        <w:pStyle w:val="ListParagraph"/>
        <w:ind w:left="360" w:hanging="180"/>
      </w:pPr>
      <w:r>
        <w:t xml:space="preserve">• </w:t>
      </w:r>
      <w:r>
        <w:t>When a package option matches the product SKU, that package is selected by default.</w:t>
      </w:r>
    </w:p>
    <w:p>
      <w:pPr>
        <w:pStyle w:val="ListParagraph"/>
        <w:ind w:left="360" w:hanging="180"/>
      </w:pPr>
      <w:r>
        <w:t xml:space="preserve">• </w:t>
      </w:r>
      <w:r>
        <w:t>Package options carry the selected SKU, web ID, cart action, price-display link flag, contact link, regulatory statement, search status, entitlement status, online price applicability, long-term-unavailable status, list price, third-party flag, data sheet URL, lead-time data, and pricing submessage.</w:t>
      </w:r>
    </w:p>
    <w:p>
      <w:pPr>
        <w:pStyle w:val="ListParagraph"/>
        <w:ind w:left="360" w:hanging="180"/>
      </w:pPr>
      <w:r>
        <w:t xml:space="preserve">• </w:t>
      </w:r>
      <w:r>
        <w:t>The package selector is hidden while pricing is loading for signed-in users or FisherSci product-site regions.</w:t>
      </w:r>
    </w:p>
    <w:p>
      <w:pPr>
        <w:pStyle w:val="ListParagraph"/>
        <w:ind w:left="360" w:hanging="180"/>
      </w:pPr>
      <w:r>
        <w:t xml:space="preserve">• </w:t>
      </w:r>
      <w:r>
        <w:t>The Your Price message is hidden when the selected package uses a price-display link or cannot be added to cart.</w:t>
      </w:r>
    </w:p>
    <w:p>
      <w:pPr>
        <w:pStyle w:val="ListParagraph"/>
        <w:ind w:left="360" w:hanging="180"/>
      </w:pPr>
      <w:r>
        <w:t xml:space="preserve">• </w:t>
      </w:r>
      <w:r>
        <w:t>Signed-in users see the Your Price label when the selected package is eligible for price display.</w:t>
      </w:r>
    </w:p>
    <w:p>
      <w:pPr>
        <w:pStyle w:val="ListParagraph"/>
        <w:ind w:left="360" w:hanging="180"/>
      </w:pPr>
      <w:r>
        <w:t xml:space="preserve">• </w:t>
      </w:r>
      <w:r>
        <w:t>Anonymous users see Check your price when the selected package is eligible for price display.</w:t>
      </w:r>
    </w:p>
    <w:p>
      <w:pPr>
        <w:pStyle w:val="ListParagraph"/>
        <w:ind w:left="360" w:hanging="180"/>
      </w:pPr>
      <w:r>
        <w:t xml:space="preserve">• </w:t>
      </w:r>
      <w:r>
        <w:t>Selecting Check your price sends the user into the pricing sign-in flow and returns them to the product page.</w:t>
      </w:r>
    </w:p>
    <w:p>
      <w:pPr>
        <w:pStyle w:val="ListParagraph"/>
        <w:ind w:left="360" w:hanging="180"/>
      </w:pPr>
      <w:r>
        <w:t xml:space="preserve">• </w:t>
      </w:r>
      <w:r>
        <w:t>Quantity is shown only when the selected package does not use a price-display link and can be added to cart.</w:t>
      </w:r>
    </w:p>
    <w:p>
      <w:pPr>
        <w:pStyle w:val="ListParagraph"/>
        <w:ind w:left="360" w:hanging="180"/>
      </w:pPr>
      <w:r>
        <w:t xml:space="preserve">• </w:t>
      </w:r>
      <w:r>
        <w:t>Quantity accepts numeric input with a minimum of 1 and a maximum of 999 in the rendered input.</w:t>
      </w:r>
    </w:p>
    <w:p>
      <w:pPr>
        <w:pStyle w:val="ListParagraph"/>
        <w:ind w:left="360" w:hanging="180"/>
      </w:pPr>
      <w:r>
        <w:t xml:space="preserve">• </w:t>
      </w:r>
      <w:r>
        <w:t>The Request bulk or custom quote link is shown with the quantity control for non-FisherSci contexts.</w:t>
      </w:r>
    </w:p>
    <w:p>
      <w:pPr>
        <w:pStyle w:val="ListParagraph"/>
        <w:ind w:left="360" w:hanging="180"/>
      </w:pPr>
      <w:r>
        <w:t xml:space="preserve">• </w:t>
      </w:r>
      <w:r>
        <w:t>Add to Cart is hidden when the selected package is not searchable, not entitled, or long-term unavailable.</w:t>
      </w:r>
    </w:p>
    <w:p>
      <w:pPr>
        <w:pStyle w:val="ListParagraph"/>
        <w:ind w:left="360" w:hanging="180"/>
      </w:pPr>
      <w:r>
        <w:t xml:space="preserve">• </w:t>
      </w:r>
      <w:r>
        <w:t>In FisherSci product-site regions, the Add to Cart button uses the FisherSci button styling.</w:t>
      </w:r>
    </w:p>
    <w:p>
      <w:pPr>
        <w:pStyle w:val="ListParagraph"/>
        <w:ind w:left="360" w:hanging="180"/>
      </w:pPr>
      <w:r>
        <w:t xml:space="preserve">• </w:t>
      </w:r>
      <w:r>
        <w:t>If the selected package uses a price-display link, the commerce action links to the selected package contact link.</w:t>
      </w:r>
    </w:p>
    <w:p>
      <w:pPr>
        <w:pStyle w:val="ListParagraph"/>
        <w:ind w:left="360" w:hanging="180"/>
      </w:pPr>
      <w:r>
        <w:t xml:space="preserve">• </w:t>
      </w:r>
      <w:r>
        <w:t>If the selected package cannot be added to cart, the commerce action uses the package cart-action text.</w:t>
      </w:r>
    </w:p>
    <w:p>
      <w:pPr>
        <w:pStyle w:val="ListParagraph"/>
        <w:ind w:left="360" w:hanging="180"/>
      </w:pPr>
      <w:r>
        <w:t xml:space="preserve">• </w:t>
      </w:r>
      <w:r>
        <w:t>Otherwise, the commerce action is Add to Cart.</w:t>
      </w:r>
    </w:p>
    <w:p>
      <w:pPr>
        <w:pStyle w:val="ListParagraph"/>
        <w:ind w:left="360" w:hanging="180"/>
      </w:pPr>
      <w:r>
        <w:t xml:space="preserve">• </w:t>
      </w:r>
      <w:r>
        <w:t>Save to List is available only when the selected package can be added to cart and the user is eligible for Save to List.</w:t>
      </w:r>
    </w:p>
    <w:p>
      <w:pPr>
        <w:pStyle w:val="ListParagraph"/>
        <w:ind w:left="360" w:hanging="180"/>
      </w:pPr>
      <w:r>
        <w:t xml:space="preserve">• </w:t>
      </w:r>
      <w:r>
        <w:t>Signed-in users see Save to List only when shared-list data is available.</w:t>
      </w:r>
    </w:p>
    <w:p>
      <w:pPr>
        <w:pStyle w:val="ListParagraph"/>
        <w:ind w:left="360" w:hanging="180"/>
      </w:pPr>
      <w:r>
        <w:t xml:space="preserve">• </w:t>
      </w:r>
      <w:r>
        <w:t>Anonymous eligible users see a Save to List button that routes through the not-logged-in behavior.</w:t>
      </w:r>
    </w:p>
    <w:p>
      <w:pPr>
        <w:pStyle w:val="ListParagraph"/>
        <w:ind w:left="360" w:hanging="180"/>
      </w:pPr>
      <w:r>
        <w:t xml:space="preserve">• </w:t>
      </w:r>
      <w:r>
        <w:t>If a signed-in eligible user has shared lists, the Save to List menu shows the user's shared lists.</w:t>
      </w:r>
    </w:p>
    <w:p>
      <w:pPr>
        <w:pStyle w:val="ListParagraph"/>
        <w:ind w:left="360" w:hanging="180"/>
      </w:pPr>
      <w:r>
        <w:t xml:space="preserve">• </w:t>
      </w:r>
      <w:r>
        <w:t>If a signed-in eligible user has no shared lists, the Save to List menu shows the create-first-list message.</w:t>
      </w:r>
    </w:p>
    <w:p>
      <w:pPr>
        <w:pStyle w:val="ListParagraph"/>
        <w:ind w:left="360" w:hanging="180"/>
      </w:pPr>
      <w:r>
        <w:t xml:space="preserve">• </w:t>
      </w:r>
      <w:r>
        <w:t>The create-new-list field limits the new list name to 150 characters.</w:t>
      </w:r>
    </w:p>
    <w:p>
      <w:pPr>
        <w:pStyle w:val="ListParagraph"/>
        <w:ind w:left="360" w:hanging="180"/>
      </w:pPr>
      <w:r>
        <w:t xml:space="preserve">• </w:t>
      </w:r>
      <w:r>
        <w:t>Lead-time or shipping details display only when PDLT is applicable and lead-time mapping exists.</w:t>
      </w:r>
    </w:p>
    <w:p>
      <w:pPr>
        <w:pStyle w:val="ListParagraph"/>
        <w:ind w:left="360" w:hanging="180"/>
      </w:pPr>
      <w:r>
        <w:t xml:space="preserve">• </w:t>
      </w:r>
      <w:r>
        <w:t>Performance Guarantee is shown in the commerce area for non-FisherSci contexts.</w:t>
      </w:r>
    </w:p>
    <w:p>
      <w:pPr>
        <w:pStyle w:val="ListParagraph"/>
        <w:ind w:left="360" w:hanging="180"/>
      </w:pPr>
      <w:r>
        <w:t xml:space="preserve">• </w:t>
      </w:r>
      <w:r>
        <w:t>The live product example shows Datasheet, Certificates, Questions &amp; Answers, and Tech Support actions near the product header.</w:t>
      </w:r>
    </w:p>
    <w:p>
      <w:r>
        <w:t/>
      </w:r>
    </w:p>
    <w:p>
      <w:pPr>
        <w:pStyle w:val="Heading3"/>
      </w:pPr>
      <w:r>
        <w:t>Availability Details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New availability API behavior is enabled by configuration.</w:t>
      </w:r>
    </w:p>
    <w:p>
      <w:pPr>
        <w:pStyle w:val="ListParagraph"/>
        <w:ind w:left="360" w:hanging="180"/>
      </w:pPr>
      <w:r>
        <w:t xml:space="preserve">• </w:t>
      </w:r>
      <w:r>
        <w:t>Estimated availability behavior is enabled by configuration.</w:t>
      </w:r>
    </w:p>
    <w:p>
      <w:pPr>
        <w:pStyle w:val="ListParagraph"/>
        <w:ind w:left="360" w:hanging="180"/>
      </w:pPr>
      <w:r>
        <w:t xml:space="preserve">• </w:t>
      </w:r>
      <w:r>
        <w:t>New availability API behavior applies only to configured countries.</w:t>
      </w:r>
    </w:p>
    <w:p>
      <w:pPr>
        <w:pStyle w:val="ListParagraph"/>
        <w:ind w:left="360" w:hanging="180"/>
      </w:pPr>
      <w:r>
        <w:t xml:space="preserve">• </w:t>
      </w:r>
      <w:r>
        <w:t>Some countries can be configured as not enabled for the availability API.</w:t>
      </w:r>
    </w:p>
    <w:p>
      <w:pPr>
        <w:pStyle w:val="ListParagraph"/>
        <w:ind w:left="360" w:hanging="180"/>
      </w:pPr>
      <w:r>
        <w:t xml:space="preserve">• </w:t>
      </w:r>
      <w:r>
        <w:t>Availability details depend on selected package, country, login context, and availability service response.</w:t>
      </w:r>
    </w:p>
    <w:p>
      <w:pPr>
        <w:pStyle w:val="ListParagraph"/>
        <w:ind w:left="360" w:hanging="180"/>
      </w:pPr>
      <w:r>
        <w:t xml:space="preserve">• </w:t>
      </w:r>
      <w:r>
        <w:t>When a package size changes, availability must be re-evaluated for the selected package.</w:t>
      </w:r>
    </w:p>
    <w:p>
      <w:pPr>
        <w:pStyle w:val="ListParagraph"/>
        <w:ind w:left="360" w:hanging="180"/>
      </w:pPr>
      <w:r>
        <w:t xml:space="preserve">• </w:t>
      </w:r>
      <w:r>
        <w:t>When quantity changes, availability must be re-evaluated for the selected package.</w:t>
      </w:r>
    </w:p>
    <w:p>
      <w:pPr>
        <w:pStyle w:val="ListParagraph"/>
        <w:ind w:left="360" w:hanging="180"/>
      </w:pPr>
      <w:r>
        <w:t xml:space="preserve">• </w:t>
      </w:r>
      <w:r>
        <w:t>Availability behavior should not be hard-coded from static page HTML because final availability is populated by dynamic service responses.</w:t>
      </w:r>
    </w:p>
    <w:p>
      <w:r>
        <w:t/>
      </w:r>
    </w:p>
    <w:p>
      <w:pPr>
        <w:pStyle w:val="Heading3"/>
      </w:pPr>
      <w:r>
        <w:t>Product Details And Specifications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Product Details are displayed when product detail data is available.</w:t>
      </w:r>
    </w:p>
    <w:p>
      <w:pPr>
        <w:pStyle w:val="ListParagraph"/>
        <w:ind w:left="360" w:hanging="180"/>
      </w:pPr>
      <w:r>
        <w:t xml:space="preserve">• </w:t>
      </w:r>
      <w:r>
        <w:t>Tested Applications are displayed only when tested application data exists.</w:t>
      </w:r>
    </w:p>
    <w:p>
      <w:pPr>
        <w:pStyle w:val="ListParagraph"/>
        <w:ind w:left="360" w:hanging="180"/>
      </w:pPr>
      <w:r>
        <w:t xml:space="preserve">• </w:t>
      </w:r>
      <w:r>
        <w:t>Tested Applications display application name, abbreviation, and dilution.</w:t>
      </w:r>
    </w:p>
    <w:p>
      <w:pPr>
        <w:pStyle w:val="ListParagraph"/>
        <w:ind w:left="360" w:hanging="180"/>
      </w:pPr>
      <w:r>
        <w:t xml:space="preserve">• </w:t>
      </w:r>
      <w:r>
        <w:t>Published Applications are displayed only when published application data exists.</w:t>
      </w:r>
    </w:p>
    <w:p>
      <w:pPr>
        <w:pStyle w:val="ListParagraph"/>
        <w:ind w:left="360" w:hanging="180"/>
      </w:pPr>
      <w:r>
        <w:t xml:space="preserve">• </w:t>
      </w:r>
      <w:r>
        <w:t>Published Applications link to the matching References section and show the number of related publications.</w:t>
      </w:r>
    </w:p>
    <w:p>
      <w:pPr>
        <w:pStyle w:val="ListParagraph"/>
        <w:ind w:left="360" w:hanging="180"/>
      </w:pPr>
      <w:r>
        <w:t xml:space="preserve">• </w:t>
      </w:r>
      <w:r>
        <w:t>Product specifications display only when the underlying value is present.</w:t>
      </w:r>
    </w:p>
    <w:p>
      <w:pPr>
        <w:pStyle w:val="ListParagraph"/>
        <w:ind w:left="360" w:hanging="180"/>
      </w:pPr>
      <w:r>
        <w:t xml:space="preserve">• </w:t>
      </w:r>
      <w:r>
        <w:t>Species Reactivity is shown only when reactivity species values exist.</w:t>
      </w:r>
    </w:p>
    <w:p>
      <w:pPr>
        <w:pStyle w:val="ListParagraph"/>
        <w:ind w:left="360" w:hanging="180"/>
      </w:pPr>
      <w:r>
        <w:t xml:space="preserve">• </w:t>
      </w:r>
      <w:r>
        <w:t>Published Species is shown only when published species is applicable and the published species list has values.</w:t>
      </w:r>
    </w:p>
    <w:p>
      <w:pPr>
        <w:pStyle w:val="ListParagraph"/>
        <w:ind w:left="360" w:hanging="180"/>
      </w:pPr>
      <w:r>
        <w:t xml:space="preserve">• </w:t>
      </w:r>
      <w:r>
        <w:t>Published Species excludes values whose common name starts with Not Applicable.</w:t>
      </w:r>
    </w:p>
    <w:p>
      <w:pPr>
        <w:pStyle w:val="ListParagraph"/>
        <w:ind w:left="360" w:hanging="180"/>
      </w:pPr>
      <w:r>
        <w:t xml:space="preserve">• </w:t>
      </w:r>
      <w:r>
        <w:t>Host / Isotype is shown only when host or isotype data exists.</w:t>
      </w:r>
    </w:p>
    <w:p>
      <w:pPr>
        <w:pStyle w:val="ListParagraph"/>
        <w:ind w:left="360" w:hanging="180"/>
      </w:pPr>
      <w:r>
        <w:t xml:space="preserve">• </w:t>
      </w:r>
      <w:r>
        <w:t>Recommended Isotype Control is shown only when a recommended isotype web name exists.</w:t>
      </w:r>
    </w:p>
    <w:p>
      <w:pPr>
        <w:pStyle w:val="ListParagraph"/>
        <w:ind w:left="360" w:hanging="180"/>
      </w:pPr>
      <w:r>
        <w:t xml:space="preserve">• </w:t>
      </w:r>
      <w:r>
        <w:t>Class is shown only when clonality exists.</w:t>
      </w:r>
    </w:p>
    <w:p>
      <w:pPr>
        <w:pStyle w:val="ListParagraph"/>
        <w:ind w:left="360" w:hanging="180"/>
      </w:pPr>
      <w:r>
        <w:t xml:space="preserve">• </w:t>
      </w:r>
      <w:r>
        <w:t>Type is shown only when product subtype exists.</w:t>
      </w:r>
    </w:p>
    <w:p>
      <w:pPr>
        <w:pStyle w:val="ListParagraph"/>
        <w:ind w:left="360" w:hanging="180"/>
      </w:pPr>
      <w:r>
        <w:t xml:space="preserve">• </w:t>
      </w:r>
      <w:r>
        <w:t>Clone is shown only when clone ID exists.</w:t>
      </w:r>
    </w:p>
    <w:p>
      <w:pPr>
        <w:pStyle w:val="ListParagraph"/>
        <w:ind w:left="360" w:hanging="180"/>
      </w:pPr>
      <w:r>
        <w:t xml:space="preserve">• </w:t>
      </w:r>
      <w:r>
        <w:t>Immunogen is shown only when immunogen exists.</w:t>
      </w:r>
    </w:p>
    <w:p>
      <w:pPr>
        <w:pStyle w:val="ListParagraph"/>
        <w:ind w:left="360" w:hanging="180"/>
      </w:pPr>
      <w:r>
        <w:t xml:space="preserve">• </w:t>
      </w:r>
      <w:r>
        <w:t>Conjugate is shown only when conjugate display exists.</w:t>
      </w:r>
    </w:p>
    <w:p>
      <w:pPr>
        <w:pStyle w:val="ListParagraph"/>
        <w:ind w:left="360" w:hanging="180"/>
      </w:pPr>
      <w:r>
        <w:t xml:space="preserve">• </w:t>
      </w:r>
      <w:r>
        <w:t>Additional Formats are shown only when additional formats exist.</w:t>
      </w:r>
    </w:p>
    <w:p>
      <w:pPr>
        <w:pStyle w:val="ListParagraph"/>
        <w:ind w:left="360" w:hanging="180"/>
      </w:pPr>
      <w:r>
        <w:t xml:space="preserve">• </w:t>
      </w:r>
      <w:r>
        <w:t>Additional Format links route to the antibody product page for the alternate SKU.</w:t>
      </w:r>
    </w:p>
    <w:p>
      <w:pPr>
        <w:pStyle w:val="ListParagraph"/>
        <w:ind w:left="360" w:hanging="180"/>
      </w:pPr>
      <w:r>
        <w:t xml:space="preserve">• </w:t>
      </w:r>
      <w:r>
        <w:t>Form is shown only when product form exists.</w:t>
      </w:r>
    </w:p>
    <w:p>
      <w:pPr>
        <w:pStyle w:val="ListParagraph"/>
        <w:ind w:left="360" w:hanging="180"/>
      </w:pPr>
      <w:r>
        <w:t xml:space="preserve">• </w:t>
      </w:r>
      <w:r>
        <w:t>Concentration is shown only when concentration exists.</w:t>
      </w:r>
    </w:p>
    <w:p>
      <w:pPr>
        <w:pStyle w:val="ListParagraph"/>
        <w:ind w:left="360" w:hanging="180"/>
      </w:pPr>
      <w:r>
        <w:t xml:space="preserve">• </w:t>
      </w:r>
      <w:r>
        <w:t>Purification is shown only when purification type exists.</w:t>
      </w:r>
    </w:p>
    <w:p>
      <w:pPr>
        <w:pStyle w:val="ListParagraph"/>
        <w:ind w:left="360" w:hanging="180"/>
      </w:pPr>
      <w:r>
        <w:t xml:space="preserve">• </w:t>
      </w:r>
      <w:r>
        <w:t>Storage Buffer is shown only when storage-buffer type exists.</w:t>
      </w:r>
    </w:p>
    <w:p>
      <w:pPr>
        <w:pStyle w:val="ListParagraph"/>
        <w:ind w:left="360" w:hanging="180"/>
      </w:pPr>
      <w:r>
        <w:t xml:space="preserve">• </w:t>
      </w:r>
      <w:r>
        <w:t>Contains is shown only when preservative type exists.</w:t>
      </w:r>
    </w:p>
    <w:p>
      <w:pPr>
        <w:pStyle w:val="ListParagraph"/>
        <w:ind w:left="360" w:hanging="180"/>
      </w:pPr>
      <w:r>
        <w:t xml:space="preserve">• </w:t>
      </w:r>
      <w:r>
        <w:t>Storage Conditions are shown only when storage-condition data exists.</w:t>
      </w:r>
    </w:p>
    <w:p>
      <w:pPr>
        <w:pStyle w:val="ListParagraph"/>
        <w:ind w:left="360" w:hanging="180"/>
      </w:pPr>
      <w:r>
        <w:t xml:space="preserve">• </w:t>
      </w:r>
      <w:r>
        <w:t>Shipping Condition is shown only when shipping-condition display is enabled and shipping-condition data exists.</w:t>
      </w:r>
    </w:p>
    <w:p>
      <w:pPr>
        <w:pStyle w:val="ListParagraph"/>
        <w:ind w:left="360" w:hanging="180"/>
      </w:pPr>
      <w:r>
        <w:t xml:space="preserve">• </w:t>
      </w:r>
      <w:r>
        <w:t>RRID is shown only when RRID exists.</w:t>
      </w:r>
    </w:p>
    <w:p>
      <w:pPr>
        <w:pStyle w:val="ListParagraph"/>
        <w:ind w:left="360" w:hanging="180"/>
      </w:pPr>
      <w:r>
        <w:t xml:space="preserve">• </w:t>
      </w:r>
      <w:r>
        <w:t>For Secondary Antibody products, Target is shown only when target-class data exists.</w:t>
      </w:r>
    </w:p>
    <w:p>
      <w:pPr>
        <w:pStyle w:val="ListParagraph"/>
        <w:ind w:left="360" w:hanging="180"/>
      </w:pPr>
      <w:r>
        <w:t xml:space="preserve">• </w:t>
      </w:r>
      <w:r>
        <w:t>For Secondary Antibody products, Cross Adsorption is shown only when cross-adsorption data exists.</w:t>
      </w:r>
    </w:p>
    <w:p>
      <w:pPr>
        <w:pStyle w:val="ListParagraph"/>
        <w:ind w:left="360" w:hanging="180"/>
      </w:pPr>
      <w:r>
        <w:t xml:space="preserve">• </w:t>
      </w:r>
      <w:r>
        <w:t>For Secondary Antibody products, Antibody Form is shown only when antibody-form data exists.</w:t>
      </w:r>
    </w:p>
    <w:p>
      <w:pPr>
        <w:pStyle w:val="ListParagraph"/>
        <w:ind w:left="360" w:hanging="180"/>
      </w:pPr>
      <w:r>
        <w:t xml:space="preserve">• </w:t>
      </w:r>
      <w:r>
        <w:t>Product Specific Information is displayed only when product-specific description exists.</w:t>
      </w:r>
    </w:p>
    <w:p>
      <w:pPr>
        <w:pStyle w:val="ListParagraph"/>
        <w:ind w:left="360" w:hanging="180"/>
      </w:pPr>
      <w:r>
        <w:t xml:space="preserve">• </w:t>
      </w:r>
      <w:r>
        <w:t>Target Information is displayed only when product description exists.</w:t>
      </w:r>
    </w:p>
    <w:p>
      <w:pPr>
        <w:pStyle w:val="ListParagraph"/>
        <w:ind w:left="360" w:hanging="180"/>
      </w:pPr>
      <w:r>
        <w:t xml:space="preserve">• </w:t>
      </w:r>
      <w:r>
        <w:t>The regulatory statement is displayed from product regulatory-statement data.</w:t>
      </w:r>
    </w:p>
    <w:p>
      <w:r>
        <w:t/>
      </w:r>
    </w:p>
    <w:p>
      <w:pPr>
        <w:pStyle w:val="Heading3"/>
      </w:pPr>
      <w:r>
        <w:t>Bioinformatics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The Bioinformatics section displays only when at least one supported annotation group or allowed bioinformatics identifier is available.</w:t>
      </w:r>
    </w:p>
    <w:p>
      <w:pPr>
        <w:pStyle w:val="ListParagraph"/>
        <w:ind w:left="360" w:hanging="180"/>
      </w:pPr>
      <w:r>
        <w:t xml:space="preserve">• </w:t>
      </w:r>
      <w:r>
        <w:t>Panther Molecular Function links are displayed when Panther function data exists.</w:t>
      </w:r>
    </w:p>
    <w:p>
      <w:pPr>
        <w:pStyle w:val="ListParagraph"/>
        <w:ind w:left="360" w:hanging="180"/>
      </w:pPr>
      <w:r>
        <w:t xml:space="preserve">• </w:t>
      </w:r>
      <w:r>
        <w:t>GO Function links are displayed when GO process data exists.</w:t>
      </w:r>
    </w:p>
    <w:p>
      <w:pPr>
        <w:pStyle w:val="ListParagraph"/>
        <w:ind w:left="360" w:hanging="180"/>
      </w:pPr>
      <w:r>
        <w:t xml:space="preserve">• </w:t>
      </w:r>
      <w:r>
        <w:t>GO Process links are displayed when GO function data exists.</w:t>
      </w:r>
    </w:p>
    <w:p>
      <w:pPr>
        <w:pStyle w:val="ListParagraph"/>
        <w:ind w:left="360" w:hanging="180"/>
      </w:pPr>
      <w:r>
        <w:t xml:space="preserve">• </w:t>
      </w:r>
      <w:r>
        <w:t>Bioinformatics links route through the product type, subtype, and Panther content path.</w:t>
      </w:r>
    </w:p>
    <w:p>
      <w:pPr>
        <w:pStyle w:val="ListParagraph"/>
        <w:ind w:left="360" w:hanging="180"/>
      </w:pPr>
      <w:r>
        <w:t xml:space="preserve">• </w:t>
      </w:r>
      <w:r>
        <w:t>In the legacy Bioinformatics template, Secondary Antibody products suppress Protein Aliases, Gene Aliases, UniProt ID, and Entrez Gene ID even when those values exist.</w:t>
      </w:r>
    </w:p>
    <w:p>
      <w:pPr>
        <w:pStyle w:val="ListParagraph"/>
        <w:ind w:left="360" w:hanging="180"/>
      </w:pPr>
      <w:r>
        <w:t xml:space="preserve">• </w:t>
      </w:r>
      <w:r>
        <w:t>In the shared PDP view-model path, alias and identifier fields require the product subtype to have Bioinformatics display enabled; Secondary Antibody does not enable that subtype flag in the reviewed subtype configuration.</w:t>
      </w:r>
    </w:p>
    <w:p>
      <w:pPr>
        <w:pStyle w:val="ListParagraph"/>
        <w:ind w:left="360" w:hanging="180"/>
      </w:pPr>
      <w:r>
        <w:t xml:space="preserve">• </w:t>
      </w:r>
      <w:r>
        <w:t>The reviewed live secondary antibody product page did not show a Bioinformatics section, so Bioinformatics should remain conditional and should not be assumed for every secondary antibody PDP.</w:t>
      </w:r>
    </w:p>
    <w:p>
      <w:r>
        <w:t/>
      </w:r>
    </w:p>
    <w:p>
      <w:pPr>
        <w:pStyle w:val="Heading3"/>
      </w:pPr>
      <w:r>
        <w:t>References, Citations, And Published Figures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Secondary antibody products are configured for citation display.</w:t>
      </w:r>
    </w:p>
    <w:p>
      <w:pPr>
        <w:pStyle w:val="ListParagraph"/>
        <w:ind w:left="360" w:hanging="180"/>
      </w:pPr>
      <w:r>
        <w:t xml:space="preserve">• </w:t>
      </w:r>
      <w:r>
        <w:t>Citation data is limited on first load so that only the first citation application keeps its first three citation records.</w:t>
      </w:r>
    </w:p>
    <w:p>
      <w:pPr>
        <w:pStyle w:val="ListParagraph"/>
        <w:ind w:left="360" w:hanging="180"/>
      </w:pPr>
      <w:r>
        <w:t xml:space="preserve">• </w:t>
      </w:r>
      <w:r>
        <w:t>Other citation applications keep their application abbreviation while their citation lists are cleared for the first-load payload.</w:t>
      </w:r>
    </w:p>
    <w:p>
      <w:pPr>
        <w:pStyle w:val="ListParagraph"/>
        <w:ind w:left="360" w:hanging="180"/>
      </w:pPr>
      <w:r>
        <w:t xml:space="preserve">• </w:t>
      </w:r>
      <w:r>
        <w:t>If a product has zero references, the PDP can display References (0).</w:t>
      </w:r>
    </w:p>
    <w:p>
      <w:pPr>
        <w:pStyle w:val="ListParagraph"/>
        <w:ind w:left="360" w:hanging="180"/>
      </w:pPr>
      <w:r>
        <w:t xml:space="preserve">• </w:t>
      </w:r>
      <w:r>
        <w:t>When a product has zero references, the PDP asks users whether they have cited the product in a publication.</w:t>
      </w:r>
    </w:p>
    <w:p>
      <w:pPr>
        <w:pStyle w:val="ListParagraph"/>
        <w:ind w:left="360" w:hanging="180"/>
      </w:pPr>
      <w:r>
        <w:t xml:space="preserve">• </w:t>
      </w:r>
      <w:r>
        <w:t>When a product has zero references, the PDP provides a Cite this product action.</w:t>
      </w:r>
    </w:p>
    <w:p>
      <w:pPr>
        <w:pStyle w:val="ListParagraph"/>
        <w:ind w:left="360" w:hanging="180"/>
      </w:pPr>
      <w:r>
        <w:t xml:space="preserve">• </w:t>
      </w:r>
      <w:r>
        <w:t>The create-citation modal builds citation text from product web name, Thermo Fisher Scientific, catalog number, and RRID when RRID exists.</w:t>
      </w:r>
    </w:p>
    <w:p>
      <w:pPr>
        <w:pStyle w:val="ListParagraph"/>
        <w:ind w:left="360" w:hanging="180"/>
      </w:pPr>
      <w:r>
        <w:t xml:space="preserve">• </w:t>
      </w:r>
      <w:r>
        <w:t>Published figure count can be displayed independently from reference count.</w:t>
      </w:r>
    </w:p>
    <w:p>
      <w:pPr>
        <w:pStyle w:val="ListParagraph"/>
        <w:ind w:left="360" w:hanging="180"/>
      </w:pPr>
      <w:r>
        <w:t xml:space="preserve">• </w:t>
      </w:r>
      <w:r>
        <w:t>The reviewed live product page displayed published figures and zero references for the same SKU.</w:t>
      </w:r>
    </w:p>
    <w:p>
      <w:pPr>
        <w:pStyle w:val="ListParagraph"/>
        <w:ind w:left="360" w:hanging="180"/>
      </w:pPr>
      <w:r>
        <w:t xml:space="preserve">• </w:t>
      </w:r>
      <w:r>
        <w:t>BenchSci content displays a disclaimer explaining that clicking images or links redirects to third-party scientific content.</w:t>
      </w:r>
    </w:p>
    <w:p>
      <w:r>
        <w:t/>
      </w:r>
    </w:p>
    <w:p>
      <w:pPr>
        <w:pStyle w:val="Heading3"/>
      </w:pPr>
      <w:r>
        <w:t>Questions And Answers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The Questions and Answers module is enabled only when the global Q&amp;A module flag is true and the product subtype is included in the configured Q&amp;A-enabled subtype list.</w:t>
      </w:r>
    </w:p>
    <w:p>
      <w:pPr>
        <w:pStyle w:val="ListParagraph"/>
        <w:ind w:left="360" w:hanging="180"/>
      </w:pPr>
      <w:r>
        <w:t xml:space="preserve">• </w:t>
      </w:r>
      <w:r>
        <w:t>Secondary Antibody is included in the configured Q&amp;A-enabled subtype list.</w:t>
      </w:r>
    </w:p>
    <w:p>
      <w:pPr>
        <w:pStyle w:val="ListParagraph"/>
        <w:ind w:left="360" w:hanging="180"/>
      </w:pPr>
      <w:r>
        <w:t xml:space="preserve">• </w:t>
      </w:r>
      <w:r>
        <w:t>Q&amp;A is enabled only for countries included in the configured Q&amp;A country list.</w:t>
      </w:r>
    </w:p>
    <w:p>
      <w:pPr>
        <w:pStyle w:val="ListParagraph"/>
        <w:ind w:left="360" w:hanging="180"/>
      </w:pPr>
      <w:r>
        <w:t xml:space="preserve">• </w:t>
      </w:r>
      <w:r>
        <w:t>The configured Q&amp;A country list is US and CA.</w:t>
      </w:r>
    </w:p>
    <w:p>
      <w:pPr>
        <w:pStyle w:val="ListParagraph"/>
        <w:ind w:left="360" w:hanging="180"/>
      </w:pPr>
      <w:r>
        <w:t xml:space="preserve">• </w:t>
      </w:r>
      <w:r>
        <w:t>The PDP exposes the Q&amp;A widget API path for the product page experience.</w:t>
      </w:r>
    </w:p>
    <w:p>
      <w:pPr>
        <w:pStyle w:val="ListParagraph"/>
        <w:ind w:left="360" w:hanging="180"/>
      </w:pPr>
      <w:r>
        <w:t xml:space="preserve">• </w:t>
      </w:r>
      <w:r>
        <w:t>The live secondary antibody PDP displays Questions &amp; Answers as a product action.</w:t>
      </w:r>
    </w:p>
    <w:p>
      <w:pPr>
        <w:pStyle w:val="ListParagraph"/>
        <w:ind w:left="360" w:hanging="180"/>
      </w:pPr>
      <w:r>
        <w:t xml:space="preserve">• </w:t>
      </w:r>
      <w:r>
        <w:t>Detailed Q&amp;A matching, sorting, and answer-ranking rules were not confirmed from the accessible search/PDP repository and should be validated against the Q&amp;A service repository before being treated as final business rules.</w:t>
      </w:r>
    </w:p>
    <w:p>
      <w:r>
        <w:t/>
      </w:r>
    </w:p>
    <w:p>
      <w:pPr>
        <w:pStyle w:val="Heading3"/>
      </w:pPr>
      <w:r>
        <w:t>Related Products And Related Antibodies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Related-products module behavior is enabled only when the global related-products flag is true and the product subtype is included in the configured related-products-enabled subtype list.</w:t>
      </w:r>
    </w:p>
    <w:p>
      <w:pPr>
        <w:pStyle w:val="ListParagraph"/>
        <w:ind w:left="360" w:hanging="180"/>
      </w:pPr>
      <w:r>
        <w:t xml:space="preserve">• </w:t>
      </w:r>
      <w:r>
        <w:t>Secondary Antibody is included in the configured related-products-enabled subtype list.</w:t>
      </w:r>
    </w:p>
    <w:p>
      <w:pPr>
        <w:pStyle w:val="ListParagraph"/>
        <w:ind w:left="360" w:hanging="180"/>
      </w:pPr>
      <w:r>
        <w:t xml:space="preserve">• </w:t>
      </w:r>
      <w:r>
        <w:t>The related-products widget uses the configured related-products module URL.</w:t>
      </w:r>
    </w:p>
    <w:p>
      <w:pPr>
        <w:pStyle w:val="ListParagraph"/>
        <w:ind w:left="360" w:hanging="180"/>
      </w:pPr>
      <w:r>
        <w:t xml:space="preserve">• </w:t>
      </w:r>
      <w:r>
        <w:t>When related-products widget V2 is enabled, the module URL uses the V2 path.</w:t>
      </w:r>
    </w:p>
    <w:p>
      <w:pPr>
        <w:pStyle w:val="ListParagraph"/>
        <w:ind w:left="360" w:hanging="180"/>
      </w:pPr>
      <w:r>
        <w:t xml:space="preserve">• </w:t>
      </w:r>
      <w:r>
        <w:t>Secondary antibody PDPs always mark related-antibody display as true in the secondary-antibody product detail view model.</w:t>
      </w:r>
    </w:p>
    <w:p>
      <w:pPr>
        <w:pStyle w:val="ListParagraph"/>
        <w:ind w:left="360" w:hanging="180"/>
      </w:pPr>
      <w:r>
        <w:t xml:space="preserve">• </w:t>
      </w:r>
      <w:r>
        <w:t>Secondary antibody related-antibody data uses the Secondary subtype value.</w:t>
      </w:r>
    </w:p>
    <w:p>
      <w:pPr>
        <w:pStyle w:val="ListParagraph"/>
        <w:ind w:left="360" w:hanging="180"/>
      </w:pPr>
      <w:r>
        <w:t xml:space="preserve">• </w:t>
      </w:r>
      <w:r>
        <w:t>In the secondary antibody related-antibody template, the related-antibody list contains links to See all Secondary Antibodies, Epitope tag antibodies, and Loading isotype controls.</w:t>
      </w:r>
    </w:p>
    <w:p>
      <w:pPr>
        <w:pStyle w:val="ListParagraph"/>
        <w:ind w:left="360" w:hanging="180"/>
      </w:pPr>
      <w:r>
        <w:t xml:space="preserve">• </w:t>
      </w:r>
      <w:r>
        <w:t>The legacy secondary antibody cross-sell section also renders Related Antibodies with those same three links.</w:t>
      </w:r>
    </w:p>
    <w:p>
      <w:pPr>
        <w:pStyle w:val="ListParagraph"/>
        <w:ind w:left="360" w:hanging="180"/>
      </w:pPr>
      <w:r>
        <w:t xml:space="preserve">• </w:t>
      </w:r>
      <w:r>
        <w:t>Primary antibody suggested-secondary cross-sell rules do not apply to secondary antibody PDPs.</w:t>
      </w:r>
    </w:p>
    <w:p>
      <w:r>
        <w:t/>
      </w:r>
    </w:p>
    <w:p>
      <w:pPr>
        <w:pStyle w:val="Heading3"/>
      </w:pPr>
      <w:r>
        <w:t>Technical Support, Data Sheets, And Compliance Messaging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The Datasheet action links to the product data sheet when a data sheet exists.</w:t>
      </w:r>
    </w:p>
    <w:p>
      <w:pPr>
        <w:pStyle w:val="ListParagraph"/>
        <w:ind w:left="360" w:hanging="180"/>
      </w:pPr>
      <w:r>
        <w:t xml:space="preserve">• </w:t>
      </w:r>
      <w:r>
        <w:t>If a data sheet does not exist, the Datasheet action routes to the PDP manuals/documents area.</w:t>
      </w:r>
    </w:p>
    <w:p>
      <w:pPr>
        <w:pStyle w:val="ListParagraph"/>
        <w:ind w:left="360" w:hanging="180"/>
      </w:pPr>
      <w:r>
        <w:t xml:space="preserve">• </w:t>
      </w:r>
      <w:r>
        <w:t>Tech Support links to the Thermo Fisher technical support contact page for non-FisherSci contexts.</w:t>
      </w:r>
    </w:p>
    <w:p>
      <w:pPr>
        <w:pStyle w:val="ListParagraph"/>
        <w:ind w:left="360" w:hanging="180"/>
      </w:pPr>
      <w:r>
        <w:t xml:space="preserve">• </w:t>
      </w:r>
      <w:r>
        <w:t>FisherSci contexts use regional help-page behavior for Tech Support when allowed by the site-region rules.</w:t>
      </w:r>
    </w:p>
    <w:p>
      <w:pPr>
        <w:pStyle w:val="ListParagraph"/>
        <w:ind w:left="360" w:hanging="180"/>
      </w:pPr>
      <w:r>
        <w:t xml:space="preserve">• </w:t>
      </w:r>
      <w:r>
        <w:t>The technical-support modal is enabled only when the product subtype supports the modal and the user's country is in the configured technical-support country list.</w:t>
      </w:r>
    </w:p>
    <w:p>
      <w:pPr>
        <w:pStyle w:val="ListParagraph"/>
        <w:ind w:left="360" w:hanging="180"/>
      </w:pPr>
      <w:r>
        <w:t xml:space="preserve">• </w:t>
      </w:r>
      <w:r>
        <w:t>Secondary Antibody is included in the configured technical-support subtype list.</w:t>
      </w:r>
    </w:p>
    <w:p>
      <w:pPr>
        <w:pStyle w:val="ListParagraph"/>
        <w:ind w:left="360" w:hanging="180"/>
      </w:pPr>
      <w:r>
        <w:t xml:space="preserve">• </w:t>
      </w:r>
      <w:r>
        <w:t>The configured technical-support country list is US and CA.</w:t>
      </w:r>
    </w:p>
    <w:p>
      <w:pPr>
        <w:pStyle w:val="ListParagraph"/>
        <w:ind w:left="360" w:hanging="180"/>
      </w:pPr>
      <w:r>
        <w:t xml:space="preserve">• </w:t>
      </w:r>
      <w:r>
        <w:t>Secondary antibody products can display a For Research Use Only statement when product data contains that regulatory statement.</w:t>
      </w:r>
    </w:p>
    <w:p>
      <w:pPr>
        <w:pStyle w:val="ListParagraph"/>
        <w:ind w:left="360" w:hanging="180"/>
      </w:pPr>
      <w:r>
        <w:t xml:space="preserve">• </w:t>
      </w:r>
      <w:r>
        <w:t>Secondary antibody products can display not-for-diagnostic and not-for-resale restrictions when product data contains those statements.</w:t>
      </w:r>
    </w:p>
    <w:p>
      <w:r>
        <w:t/>
      </w:r>
    </w:p>
    <w:p>
      <w:pPr>
        <w:pStyle w:val="Heading2"/>
      </w:pPr>
      <w:r>
        <w:t>Possible Inferences</w:t>
      </w:r>
    </w:p>
    <w:p>
      <w:r>
        <w:t/>
      </w:r>
    </w:p>
    <w:p>
      <w:pPr>
        <w:pStyle w:val="ListParagraph"/>
        <w:ind w:left="360" w:hanging="180"/>
      </w:pPr>
      <w:r>
        <w:t xml:space="preserve">• </w:t>
      </w:r>
      <w:r>
        <w:t>The live product page displays the Questions &amp; Answers action, but the full Q&amp;A retrieval, ranking, and filtering rules require the Q&amp;A service repository for complete verification.</w:t>
      </w:r>
    </w:p>
    <w:p>
      <w:pPr>
        <w:pStyle w:val="ListParagraph"/>
        <w:ind w:left="360" w:hanging="180"/>
      </w:pPr>
      <w:r>
        <w:t xml:space="preserve">• </w:t>
      </w:r>
      <w:r>
        <w:t>The live product page exposes dynamic price and availability areas, but final price, Add to Cart, and availability outcomes require browser execution and commerce-service responses for the selected country and login state.</w:t>
      </w:r>
    </w:p>
    <w:p>
      <w:pPr>
        <w:pStyle w:val="ListParagraph"/>
        <w:ind w:left="360" w:hanging="180"/>
      </w:pPr>
      <w:r>
        <w:t xml:space="preserve">• </w:t>
      </w:r>
      <w:r>
        <w:t>The de-magellan team URL itself could not be used to prove exact team membership through the connector; the rules above are based on accessible installed Magellan repositories and live Thermo Fisher product/search pages.</w:t>
      </w:r>
    </w:p>
    <w:sectPr>
      <w:pgSz w:w="12240" w:h="15840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sz w:val="20"/>
      <w:szCs w:val="20"/>
      <w:rFonts w:ascii="Arial" w:hAnsi="Arial"/>
    </w:rPr>
  </w:style>
  <w:style w:type="paragraph" w:styleId="Title">
    <w:name w:val="Title"/>
    <w:qFormat/>
    <w:pPr>
      <w:spacing w:after="240"/>
    </w:pPr>
    <w:rPr>
      <w:b/>
      <w:sz w:val="32"/>
      <w:rFonts w:ascii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sz w:val="26"/>
      <w:rFonts w:ascii="Arial" w:hAnsi="Arial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sz w:val="23"/>
      <w:rFonts w:ascii="Arial" w:hAnsi="Arial"/>
    </w:rPr>
  </w:style>
  <w:style w:type="paragraph" w:styleId="ListParagraph">
    <w:name w:val="List Paragraph"/>
    <w:basedOn w:val="Normal"/>
    <w:pPr>
      <w:ind w:left="360"/>
      <w:spacing w:after="80"/>
    </w:pPr>
  </w:style>
  <w:style w:type="character" w:styleId="Code">
    <w:name w:val="Code"/>
    <w:rPr>
      <w:rFonts w:ascii="Courier New" w:hAnsi="Courier New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Secondary_Antibody_Search_and_Product_Series_Business_Rules_Current</dc:title>
  <dc:creator>Codex</dc:creator>
  <cp:lastModifiedBy>Codex</cp:lastModifiedBy>
  <dcterms:created xsi:type="dcterms:W3CDTF">2026-06-05T16:39:20Z</dcterms:created>
  <dcterms:modified xsi:type="dcterms:W3CDTF">2026-06-05T16:39:20Z</dcterms:modified>
</cp:coreProperties>
</file>